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67F64" w14:textId="77777777" w:rsidR="00F96C5F" w:rsidRDefault="00F96C5F" w:rsidP="00F96C5F">
      <w:pPr>
        <w:spacing w:after="0" w:line="360" w:lineRule="exact"/>
        <w:jc w:val="center"/>
        <w:rPr>
          <w:rFonts w:ascii="Palatino Linotype" w:hAnsi="Palatino Linotype"/>
          <w:b/>
          <w:smallCaps/>
          <w:sz w:val="26"/>
          <w:szCs w:val="26"/>
        </w:rPr>
      </w:pPr>
      <w:r>
        <w:rPr>
          <w:rFonts w:ascii="Palatino Linotype" w:hAnsi="Palatino Linotype"/>
          <w:b/>
          <w:smallCaps/>
          <w:sz w:val="26"/>
          <w:szCs w:val="26"/>
        </w:rPr>
        <w:t>Consiglio Notarile di Brescia</w:t>
      </w:r>
    </w:p>
    <w:p w14:paraId="51A2060E" w14:textId="77777777" w:rsidR="00F96C5F" w:rsidRDefault="00F96C5F" w:rsidP="00F96C5F">
      <w:pPr>
        <w:spacing w:after="0" w:line="360" w:lineRule="exact"/>
        <w:jc w:val="both"/>
        <w:rPr>
          <w:rFonts w:ascii="Palatino Linotype" w:hAnsi="Palatino Linotype"/>
          <w:sz w:val="26"/>
          <w:szCs w:val="26"/>
        </w:rPr>
      </w:pPr>
    </w:p>
    <w:p w14:paraId="4FCF220C" w14:textId="77777777" w:rsidR="00F96C5F" w:rsidRDefault="00F96C5F" w:rsidP="00F96C5F">
      <w:pPr>
        <w:spacing w:after="0" w:line="360" w:lineRule="exact"/>
        <w:jc w:val="center"/>
        <w:rPr>
          <w:rFonts w:ascii="Palatino Linotype" w:hAnsi="Palatino Linotype"/>
          <w:sz w:val="26"/>
          <w:szCs w:val="26"/>
        </w:rPr>
      </w:pPr>
      <w:r>
        <w:rPr>
          <w:rFonts w:ascii="Palatino Linotype" w:hAnsi="Palatino Linotype"/>
          <w:sz w:val="26"/>
          <w:szCs w:val="26"/>
        </w:rPr>
        <w:t>PROGRAMMA TRIENNALE PER LA TRASPARENZA E L’INTEGRITA’</w:t>
      </w:r>
    </w:p>
    <w:p w14:paraId="585A13D4" w14:textId="77777777" w:rsidR="00F96C5F" w:rsidRDefault="00F96C5F" w:rsidP="00F96C5F">
      <w:pPr>
        <w:spacing w:after="0" w:line="360" w:lineRule="exact"/>
        <w:jc w:val="center"/>
        <w:rPr>
          <w:rFonts w:ascii="Palatino Linotype" w:hAnsi="Palatino Linotype"/>
          <w:sz w:val="26"/>
          <w:szCs w:val="26"/>
        </w:rPr>
      </w:pPr>
    </w:p>
    <w:p w14:paraId="12B79452" w14:textId="14534649" w:rsidR="00F96C5F" w:rsidRDefault="00497C38" w:rsidP="00F96C5F">
      <w:pPr>
        <w:spacing w:after="0" w:line="360" w:lineRule="exact"/>
        <w:jc w:val="center"/>
        <w:rPr>
          <w:rFonts w:ascii="Palatino Linotype" w:hAnsi="Palatino Linotype"/>
          <w:sz w:val="26"/>
          <w:szCs w:val="26"/>
        </w:rPr>
      </w:pPr>
      <w:r>
        <w:rPr>
          <w:rFonts w:ascii="Palatino Linotype" w:hAnsi="Palatino Linotype"/>
          <w:sz w:val="26"/>
          <w:szCs w:val="26"/>
        </w:rPr>
        <w:t>Anno 20</w:t>
      </w:r>
      <w:r w:rsidR="007B489E">
        <w:rPr>
          <w:rFonts w:ascii="Palatino Linotype" w:hAnsi="Palatino Linotype"/>
          <w:sz w:val="26"/>
          <w:szCs w:val="26"/>
        </w:rPr>
        <w:t>2</w:t>
      </w:r>
      <w:r w:rsidR="00086835">
        <w:rPr>
          <w:rFonts w:ascii="Palatino Linotype" w:hAnsi="Palatino Linotype"/>
          <w:sz w:val="26"/>
          <w:szCs w:val="26"/>
        </w:rPr>
        <w:t>4</w:t>
      </w:r>
      <w:r w:rsidR="007B489E">
        <w:rPr>
          <w:rFonts w:ascii="Palatino Linotype" w:hAnsi="Palatino Linotype"/>
          <w:sz w:val="26"/>
          <w:szCs w:val="26"/>
        </w:rPr>
        <w:t>/202</w:t>
      </w:r>
      <w:r w:rsidR="00086835">
        <w:rPr>
          <w:rFonts w:ascii="Palatino Linotype" w:hAnsi="Palatino Linotype"/>
          <w:sz w:val="26"/>
          <w:szCs w:val="26"/>
        </w:rPr>
        <w:t>6</w:t>
      </w:r>
    </w:p>
    <w:p w14:paraId="27C1BB46" w14:textId="77777777" w:rsidR="00F96C5F" w:rsidRDefault="00F96C5F" w:rsidP="00F96C5F">
      <w:pPr>
        <w:spacing w:after="0" w:line="360" w:lineRule="exact"/>
        <w:jc w:val="both"/>
        <w:rPr>
          <w:rFonts w:ascii="Palatino Linotype" w:hAnsi="Palatino Linotype"/>
          <w:sz w:val="26"/>
          <w:szCs w:val="26"/>
        </w:rPr>
      </w:pPr>
    </w:p>
    <w:p w14:paraId="4E3A29B8" w14:textId="77777777" w:rsidR="00B626BE" w:rsidRDefault="00B626BE" w:rsidP="00B626BE">
      <w:pPr>
        <w:tabs>
          <w:tab w:val="left" w:pos="4185"/>
        </w:tabs>
        <w:spacing w:after="0" w:line="360" w:lineRule="exact"/>
        <w:jc w:val="both"/>
        <w:rPr>
          <w:rFonts w:ascii="Palatino Linotype" w:hAnsi="Palatino Linotype"/>
          <w:b/>
          <w:sz w:val="26"/>
          <w:szCs w:val="26"/>
        </w:rPr>
      </w:pPr>
      <w:r>
        <w:rPr>
          <w:rFonts w:ascii="Palatino Linotype" w:hAnsi="Palatino Linotype"/>
          <w:b/>
          <w:sz w:val="26"/>
          <w:szCs w:val="26"/>
        </w:rPr>
        <w:t xml:space="preserve">Articolo 1 - </w:t>
      </w:r>
      <w:r>
        <w:rPr>
          <w:rFonts w:ascii="Palatino Linotype" w:hAnsi="Palatino Linotype"/>
          <w:b/>
          <w:i/>
          <w:sz w:val="26"/>
          <w:szCs w:val="26"/>
        </w:rPr>
        <w:t>Introduzione</w:t>
      </w:r>
      <w:r>
        <w:rPr>
          <w:rFonts w:ascii="Palatino Linotype" w:hAnsi="Palatino Linotype"/>
          <w:b/>
          <w:sz w:val="26"/>
          <w:szCs w:val="26"/>
        </w:rPr>
        <w:tab/>
      </w:r>
    </w:p>
    <w:p w14:paraId="285F6803"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xml:space="preserve">Tramite il Programma Triennale per la Trasparenza e l’Integrità (in seguito, anche solo P.T.T.I.), il Consiglio Notarile di Brescia rende noti e divulga i propri obiettivi di trasparenza, anche in funzione di prevenzione della corruzione, in coerenza con il principio di accessibilità così come disciplinato dalla legge 190/2012 e dal d.lgs. 33/2013. </w:t>
      </w:r>
    </w:p>
    <w:p w14:paraId="6F2611B4" w14:textId="77777777" w:rsidR="00B626BE" w:rsidRDefault="00B626BE" w:rsidP="00B626BE">
      <w:pPr>
        <w:spacing w:after="0" w:line="360" w:lineRule="exact"/>
        <w:jc w:val="both"/>
        <w:rPr>
          <w:rFonts w:ascii="Palatino Linotype" w:hAnsi="Palatino Linotype"/>
          <w:sz w:val="26"/>
          <w:szCs w:val="26"/>
        </w:rPr>
      </w:pPr>
    </w:p>
    <w:p w14:paraId="228225B2" w14:textId="77777777" w:rsidR="00B626BE" w:rsidRDefault="00B626BE" w:rsidP="00B626BE">
      <w:pPr>
        <w:spacing w:after="0" w:line="360" w:lineRule="exact"/>
        <w:jc w:val="both"/>
        <w:rPr>
          <w:rFonts w:ascii="Palatino Linotype" w:hAnsi="Palatino Linotype"/>
          <w:b/>
          <w:i/>
          <w:sz w:val="26"/>
          <w:szCs w:val="26"/>
        </w:rPr>
      </w:pPr>
      <w:r>
        <w:rPr>
          <w:rFonts w:ascii="Palatino Linotype" w:hAnsi="Palatino Linotype"/>
          <w:b/>
          <w:sz w:val="26"/>
          <w:szCs w:val="26"/>
        </w:rPr>
        <w:t xml:space="preserve">Articolo 2 – </w:t>
      </w:r>
      <w:r>
        <w:rPr>
          <w:rFonts w:ascii="Palatino Linotype" w:hAnsi="Palatino Linotype"/>
          <w:b/>
          <w:i/>
          <w:sz w:val="26"/>
          <w:szCs w:val="26"/>
        </w:rPr>
        <w:t>Obiettivi strategici e operativi</w:t>
      </w:r>
    </w:p>
    <w:p w14:paraId="75ECE884"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procedimento di elaborazione del presente Programma è stato avviato con l’intento del Consiglio Notarile di Brescia di promuovere l’innovazione, l’efficienza organizzativa e la trasparenza, considerati strumenti imprescindibili per la prevenzione della corruzione, nonché di migliorare la qualità dell’accesso alle informazioni dell’Ente mediante l’utilizzo di strumenti avanzati di comunicazione con la collettività.</w:t>
      </w:r>
    </w:p>
    <w:p w14:paraId="1CA0FB67"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Gli obiettivi operativi consistono nel:</w:t>
      </w:r>
    </w:p>
    <w:p w14:paraId="66D9642D"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xml:space="preserve">1. </w:t>
      </w:r>
      <w:r>
        <w:rPr>
          <w:rFonts w:ascii="Palatino Linotype" w:hAnsi="Palatino Linotype"/>
          <w:i/>
          <w:sz w:val="26"/>
          <w:szCs w:val="26"/>
        </w:rPr>
        <w:t>Individuare e pubblicare “dati ulteriori”</w:t>
      </w:r>
      <w:r>
        <w:rPr>
          <w:rFonts w:ascii="Palatino Linotype" w:hAnsi="Palatino Linotype"/>
          <w:sz w:val="26"/>
          <w:szCs w:val="26"/>
        </w:rPr>
        <w:t xml:space="preserve"> </w:t>
      </w:r>
      <w:r>
        <w:rPr>
          <w:rFonts w:ascii="Palatino Linotype" w:hAnsi="Palatino Linotype"/>
          <w:i/>
          <w:sz w:val="26"/>
          <w:szCs w:val="26"/>
        </w:rPr>
        <w:t>rispetto a quelli in relazione ai quali la pubblicazione è obbligatoria per legge</w:t>
      </w:r>
      <w:r>
        <w:rPr>
          <w:rFonts w:ascii="Palatino Linotype" w:hAnsi="Palatino Linotype"/>
          <w:sz w:val="26"/>
          <w:szCs w:val="26"/>
        </w:rPr>
        <w:t>.</w:t>
      </w:r>
    </w:p>
    <w:p w14:paraId="3CE4F04F"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L’obiettivo è quello di informare, compatibilmente con i propri vincoli organizzativi e finanziari, tutte le attività svolte dall’Ente nei limiti di legge e tenendo in debita considerazione la particolare natura associativa dell’Ente medesimo.</w:t>
      </w:r>
    </w:p>
    <w:p w14:paraId="35E3D7FF"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xml:space="preserve">2. </w:t>
      </w:r>
      <w:r>
        <w:rPr>
          <w:rFonts w:ascii="Palatino Linotype" w:hAnsi="Palatino Linotype"/>
          <w:i/>
          <w:sz w:val="26"/>
          <w:szCs w:val="26"/>
        </w:rPr>
        <w:t>Informatizzare le comunicazioni interne così da attuare gli obblighi di trasparenza e consentirne il relativo controllo.</w:t>
      </w:r>
      <w:r>
        <w:rPr>
          <w:rFonts w:ascii="Palatino Linotype" w:hAnsi="Palatino Linotype"/>
          <w:sz w:val="26"/>
          <w:szCs w:val="26"/>
        </w:rPr>
        <w:t xml:space="preserve"> </w:t>
      </w:r>
    </w:p>
    <w:p w14:paraId="00E22E8D"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L’obiettivo, da concretarsi mediante l’utilizzo di apposita banca dati, è volto a ridurre gli oneri e i tempi connessi alle operazioni di caricamento e pubblicazione dei dati.</w:t>
      </w:r>
    </w:p>
    <w:p w14:paraId="002093B2" w14:textId="77777777" w:rsidR="00B626BE" w:rsidRDefault="00B626BE" w:rsidP="00B626BE">
      <w:pPr>
        <w:spacing w:after="0" w:line="360" w:lineRule="exact"/>
        <w:jc w:val="both"/>
      </w:pPr>
      <w:r>
        <w:rPr>
          <w:rFonts w:ascii="Palatino Linotype" w:hAnsi="Palatino Linotype"/>
          <w:sz w:val="26"/>
          <w:szCs w:val="26"/>
        </w:rPr>
        <w:t xml:space="preserve">3. </w:t>
      </w:r>
      <w:r>
        <w:rPr>
          <w:rFonts w:ascii="Palatino Linotype" w:hAnsi="Palatino Linotype"/>
          <w:i/>
          <w:sz w:val="26"/>
          <w:szCs w:val="26"/>
        </w:rPr>
        <w:t>Progettare un sistema finalizzato a rilevare la fruibilità da parte degli utenti della sezione del sito istituzionale “Amministrazione Trasparente”</w:t>
      </w:r>
      <w:r>
        <w:rPr>
          <w:rFonts w:ascii="Palatino Linotype" w:hAnsi="Palatino Linotype"/>
          <w:sz w:val="26"/>
          <w:szCs w:val="26"/>
        </w:rPr>
        <w:t>.</w:t>
      </w:r>
    </w:p>
    <w:p w14:paraId="7CCEB72E" w14:textId="77777777" w:rsidR="00B626BE" w:rsidRDefault="00B626BE" w:rsidP="00B626BE">
      <w:pPr>
        <w:spacing w:after="0" w:line="360" w:lineRule="exact"/>
        <w:jc w:val="both"/>
      </w:pPr>
      <w:r>
        <w:rPr>
          <w:rFonts w:ascii="Palatino Linotype" w:hAnsi="Palatino Linotype"/>
          <w:sz w:val="26"/>
          <w:szCs w:val="26"/>
        </w:rPr>
        <w:t>L’obiettivo è volto a comprendere, mediante l’adozione di un idoneo sistema, le valutazioni degli utenti sulla fruibilità della sezione “Amministrazione Trasparente” al fine di incrementare l'efficacia delle misure previste nel presente Programma, nonché l’utilità delle informazioni pubblicate in termini di effettiva fruibilità da parte degli utenti.</w:t>
      </w:r>
    </w:p>
    <w:p w14:paraId="215648CC" w14:textId="77777777" w:rsidR="00B626BE" w:rsidRDefault="00B626BE" w:rsidP="00B626BE">
      <w:pPr>
        <w:spacing w:after="0" w:line="360" w:lineRule="exact"/>
        <w:jc w:val="both"/>
        <w:rPr>
          <w:rFonts w:ascii="Palatino Linotype" w:hAnsi="Palatino Linotype"/>
          <w:sz w:val="26"/>
          <w:szCs w:val="26"/>
        </w:rPr>
      </w:pPr>
    </w:p>
    <w:p w14:paraId="06338976" w14:textId="77777777" w:rsidR="00B626BE" w:rsidRDefault="00B626BE" w:rsidP="00B626BE">
      <w:pPr>
        <w:spacing w:after="0" w:line="360" w:lineRule="exact"/>
        <w:jc w:val="both"/>
        <w:rPr>
          <w:rFonts w:ascii="Palatino Linotype" w:hAnsi="Palatino Linotype"/>
          <w:b/>
          <w:i/>
          <w:sz w:val="26"/>
          <w:szCs w:val="26"/>
        </w:rPr>
      </w:pPr>
      <w:r>
        <w:rPr>
          <w:rFonts w:ascii="Palatino Linotype" w:hAnsi="Palatino Linotype"/>
          <w:b/>
          <w:sz w:val="26"/>
          <w:szCs w:val="26"/>
        </w:rPr>
        <w:t xml:space="preserve">Articolo 3 – </w:t>
      </w:r>
      <w:r>
        <w:rPr>
          <w:rFonts w:ascii="Palatino Linotype" w:hAnsi="Palatino Linotype"/>
          <w:b/>
          <w:i/>
          <w:sz w:val="26"/>
          <w:szCs w:val="26"/>
        </w:rPr>
        <w:t>Procedimento di elaborazione del Programma</w:t>
      </w:r>
    </w:p>
    <w:p w14:paraId="022D350F"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lastRenderedPageBreak/>
        <w:t>Il presente Programma è stato redatto a seguito del coinvolgimento dei componenti del Consiglio Notarile di Brescia.</w:t>
      </w:r>
    </w:p>
    <w:p w14:paraId="1B5934FA"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Sarà cura del Consiglio Notarile di Brescia valutare in un secondo momento, anche alle luce delle ulteriori indicazioni che dovessero pervenire dall’ANAC e dal Consiglio Nazionale del Notariato, il coinvolgimento, grazie alla consultazione pubblica, degli associati nei casi di adozione di delibere aventi natura generale.</w:t>
      </w:r>
    </w:p>
    <w:p w14:paraId="48521AF6"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Presente Programma viene aggiornato annualmente entro il 31 gennaio, ferma restando la possibilità, in vigenza del Programma medesimo, da parte dei componenti di presentare proposte di aggiornamento e/o di migliorie.</w:t>
      </w:r>
    </w:p>
    <w:p w14:paraId="10E12C6E" w14:textId="77777777" w:rsidR="00B626BE" w:rsidRDefault="00B626BE" w:rsidP="00B626BE">
      <w:pPr>
        <w:spacing w:after="0" w:line="360" w:lineRule="exact"/>
        <w:jc w:val="both"/>
        <w:rPr>
          <w:rFonts w:ascii="Palatino Linotype" w:hAnsi="Palatino Linotype"/>
          <w:sz w:val="26"/>
          <w:szCs w:val="26"/>
        </w:rPr>
      </w:pPr>
    </w:p>
    <w:p w14:paraId="2972425E" w14:textId="77777777" w:rsidR="00B626BE" w:rsidRDefault="00B626BE" w:rsidP="00B626BE">
      <w:pPr>
        <w:spacing w:after="0" w:line="360" w:lineRule="exact"/>
        <w:jc w:val="both"/>
        <w:rPr>
          <w:rFonts w:ascii="Palatino Linotype" w:hAnsi="Palatino Linotype"/>
          <w:b/>
          <w:i/>
          <w:sz w:val="26"/>
          <w:szCs w:val="26"/>
        </w:rPr>
      </w:pPr>
      <w:r>
        <w:rPr>
          <w:rFonts w:ascii="Palatino Linotype" w:hAnsi="Palatino Linotype"/>
          <w:b/>
          <w:sz w:val="26"/>
          <w:szCs w:val="26"/>
        </w:rPr>
        <w:t xml:space="preserve">Articolo 4 – </w:t>
      </w:r>
      <w:r>
        <w:rPr>
          <w:rFonts w:ascii="Palatino Linotype" w:hAnsi="Palatino Linotype"/>
          <w:b/>
          <w:i/>
          <w:sz w:val="26"/>
          <w:szCs w:val="26"/>
        </w:rPr>
        <w:t>Responsabile della Trasparenza e dell’Integrità (R.T.I.)</w:t>
      </w:r>
    </w:p>
    <w:p w14:paraId="1F68D1CA"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R.T.I. svolge stabilmente un’attività di controllo sull’adempimento da parte dell'Ente degli obblighi di pubblicazione previsti dalla normativa vigente, assicurando la completezza, la chiarezza e l’aggiornamento delle informazioni pubblicate, nonché segnalando al Consiglio Notarile di Brescia e all’Autorità nazionale anticorruzione i casi di mancato o ritardato adempimento degli obblighi di pubblicazione.</w:t>
      </w:r>
    </w:p>
    <w:p w14:paraId="1344EA5B"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R.T.I. provvede all’aggiornamento del Programma Triennale per la Trasparenza e l’Integrità, ove sono contemplate specifiche misure di monitoraggio sull’attuazione degli obblighi di trasparenza e ulteriori misure e iniziative di promozione della trasparenza in rapporto con il P.T.P.C.</w:t>
      </w:r>
    </w:p>
    <w:p w14:paraId="55DF72D5"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 componenti e il personale dipendente del Consiglio Notarile garantiscono il tempestivo e regolare flusso delle informazioni da pubblicare ai fini del rispetto dei termini stabiliti dalla legge.</w:t>
      </w:r>
    </w:p>
    <w:p w14:paraId="7845440B"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R.T.I. controlla e assicura la regolare attuazione dell’accesso civico sulla base di quanto stabilito dal d.lgs. n. 33/2013, nonché riceve le relative richieste.</w:t>
      </w:r>
    </w:p>
    <w:p w14:paraId="14506511"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Con riferimento alle procedure di affidamento di lavori e di approvvigionamento di beni e servizi, il R.T.I. verifica la pubblicazione nel sito internet istituzionale delle seguenti informazioni per ciascuna procedura:</w:t>
      </w:r>
    </w:p>
    <w:p w14:paraId="6B41F572"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la struttura proponente;</w:t>
      </w:r>
    </w:p>
    <w:p w14:paraId="5C720010"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l’oggetto del bando, avviso o lettera d’invito;</w:t>
      </w:r>
    </w:p>
    <w:p w14:paraId="1C794426"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l’elenco degli operatori invitati a presentare offerte;</w:t>
      </w:r>
    </w:p>
    <w:p w14:paraId="73383394"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l’aggiudicatario;</w:t>
      </w:r>
    </w:p>
    <w:p w14:paraId="4E1FA36F"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l’importo di aggiudicazione;</w:t>
      </w:r>
    </w:p>
    <w:p w14:paraId="2ECDBE1B"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i tempi di completamento dell'opera, servizio o fornitura;</w:t>
      </w:r>
    </w:p>
    <w:p w14:paraId="2602D10D"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l’importo delle somme liquidate.</w:t>
      </w:r>
    </w:p>
    <w:p w14:paraId="551A9EE3"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 xml:space="preserve">Entro il 31 gennaio di ogni anno, tali informazioni, relativamente all'anno precedente, devono essere pubblicate in tabelle riassuntive, redatte dagli uffici competenti per ciascun appalto e rese liberamente scaricabili in un formato digitale </w:t>
      </w:r>
      <w:r>
        <w:rPr>
          <w:rFonts w:ascii="Palatino Linotype" w:hAnsi="Palatino Linotype"/>
          <w:sz w:val="26"/>
          <w:szCs w:val="26"/>
        </w:rPr>
        <w:lastRenderedPageBreak/>
        <w:t>standard aperto che consenta di analizzare e rielaborare, anche a fini statistici, i dati informatici (cfr. art. 1, comma 32 della legge n. 190/2012).</w:t>
      </w:r>
    </w:p>
    <w:p w14:paraId="794E4905"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R.T.I. controlla che tali informazioni siano trasmesse in formato digitale all’ANAC per gli adempimenti di legge e garantisce il rispetto delle indicazioni fornite dall'Autorità con proprie deliberazioni in merito alle informazioni da trasmettere e alle relative modalità di trasmissione.</w:t>
      </w:r>
    </w:p>
    <w:p w14:paraId="4B544DDC"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R.T.I. propone al Consiglio l’aggiornamento del Programma per la Trasparenza e l’Integrità. Nel Programma è possibile individuare specifici obblighi di trasparenza ulteriori rispetto a quelli previsti da disposizioni di legge.</w:t>
      </w:r>
    </w:p>
    <w:p w14:paraId="7C3BD34D" w14:textId="77777777" w:rsidR="00B626BE" w:rsidRDefault="00B626BE" w:rsidP="00B626BE">
      <w:pPr>
        <w:spacing w:after="0" w:line="360" w:lineRule="exact"/>
        <w:jc w:val="both"/>
        <w:rPr>
          <w:rFonts w:ascii="Palatino Linotype" w:hAnsi="Palatino Linotype"/>
          <w:sz w:val="26"/>
          <w:szCs w:val="26"/>
        </w:rPr>
      </w:pPr>
    </w:p>
    <w:p w14:paraId="1E261DC5" w14:textId="77777777" w:rsidR="00B626BE" w:rsidRDefault="00B626BE" w:rsidP="00B626BE">
      <w:pPr>
        <w:spacing w:after="0" w:line="360" w:lineRule="exact"/>
        <w:jc w:val="both"/>
        <w:rPr>
          <w:rFonts w:ascii="Palatino Linotype" w:hAnsi="Palatino Linotype"/>
          <w:b/>
          <w:i/>
          <w:sz w:val="26"/>
          <w:szCs w:val="26"/>
        </w:rPr>
      </w:pPr>
      <w:r>
        <w:rPr>
          <w:rFonts w:ascii="Palatino Linotype" w:hAnsi="Palatino Linotype"/>
          <w:b/>
          <w:sz w:val="26"/>
          <w:szCs w:val="26"/>
        </w:rPr>
        <w:t>Articolo 6 –</w:t>
      </w:r>
      <w:r>
        <w:rPr>
          <w:rFonts w:ascii="Palatino Linotype" w:hAnsi="Palatino Linotype"/>
          <w:b/>
          <w:i/>
          <w:sz w:val="26"/>
          <w:szCs w:val="26"/>
        </w:rPr>
        <w:t xml:space="preserve"> Sezione sito istituzionale “Amministrazione trasparente”</w:t>
      </w:r>
    </w:p>
    <w:p w14:paraId="3750DE84" w14:textId="77777777" w:rsidR="00B626BE" w:rsidRDefault="00B626BE" w:rsidP="00B626BE">
      <w:pPr>
        <w:spacing w:after="0" w:line="360" w:lineRule="exact"/>
        <w:jc w:val="both"/>
      </w:pPr>
      <w:r>
        <w:rPr>
          <w:rFonts w:ascii="Palatino Linotype" w:hAnsi="Palatino Linotype"/>
          <w:sz w:val="26"/>
          <w:szCs w:val="26"/>
        </w:rPr>
        <w:t xml:space="preserve">Il sito istituzionale del Consiglio Notarile di Brescia è </w:t>
      </w:r>
      <w:hyperlink r:id="rId5" w:history="1">
        <w:r w:rsidRPr="00A03B13">
          <w:rPr>
            <w:rStyle w:val="Collegamentoipertestuale"/>
            <w:rFonts w:ascii="Palatino Linotype" w:hAnsi="Palatino Linotype"/>
            <w:sz w:val="26"/>
            <w:szCs w:val="26"/>
          </w:rPr>
          <w:t>www.notariato.brescia.it</w:t>
        </w:r>
      </w:hyperlink>
      <w:r>
        <w:rPr>
          <w:rFonts w:ascii="Palatino Linotype" w:hAnsi="Palatino Linotype"/>
          <w:color w:val="00000A"/>
          <w:sz w:val="26"/>
          <w:szCs w:val="26"/>
        </w:rPr>
        <w:t xml:space="preserve"> .</w:t>
      </w:r>
    </w:p>
    <w:p w14:paraId="34754086"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All’interno di detto sito è presente la Sezione “Amministrazione trasparente” nella quale sono pubblicati tutti i documenti di cui alla legge 190/2012, d. lgs. 33/2013 e d. lgs. 39/2013.</w:t>
      </w:r>
    </w:p>
    <w:p w14:paraId="113934F7"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Le informazioni riportate in detta sezione rispondono ai requisiti di integrità, costante aggiornamento, completezza, tempestività di pubblicazione, semplicità di consultazione, comprensibilità, omogeneità, facile accessibilità, nonché della conformità ai documenti originari in possesso dell’Ente.</w:t>
      </w:r>
    </w:p>
    <w:p w14:paraId="5AB1AADD" w14:textId="77777777" w:rsidR="00B626BE" w:rsidRDefault="00B626BE" w:rsidP="00B626BE">
      <w:pPr>
        <w:spacing w:after="0" w:line="360" w:lineRule="exact"/>
        <w:jc w:val="both"/>
        <w:rPr>
          <w:rFonts w:ascii="Palatino Linotype" w:hAnsi="Palatino Linotype"/>
          <w:b/>
          <w:sz w:val="26"/>
          <w:szCs w:val="26"/>
        </w:rPr>
      </w:pPr>
    </w:p>
    <w:p w14:paraId="6CF4D6E5" w14:textId="77777777" w:rsidR="00B626BE" w:rsidRDefault="00B626BE" w:rsidP="00B626BE">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7 – </w:t>
      </w:r>
      <w:r>
        <w:rPr>
          <w:rFonts w:ascii="Palatino Linotype" w:hAnsi="Palatino Linotype"/>
          <w:b/>
          <w:i/>
          <w:sz w:val="26"/>
          <w:szCs w:val="26"/>
        </w:rPr>
        <w:t>Tipologie di dati e informazioni da pubblicare e relativi referenti</w:t>
      </w:r>
      <w:r>
        <w:rPr>
          <w:rFonts w:ascii="Palatino Linotype" w:hAnsi="Palatino Linotype"/>
          <w:b/>
          <w:sz w:val="26"/>
          <w:szCs w:val="26"/>
        </w:rPr>
        <w:t xml:space="preserve"> </w:t>
      </w:r>
    </w:p>
    <w:p w14:paraId="07E4FDA4"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Nella tabella che segue vengono riportati i dati che il Consiglio Notarile di Brescia pubblica e aggiorna periodicamente nel proprio sito istituzionale nella sezione “</w:t>
      </w:r>
      <w:r>
        <w:rPr>
          <w:rFonts w:ascii="Palatino Linotype" w:hAnsi="Palatino Linotype"/>
          <w:i/>
          <w:sz w:val="26"/>
          <w:szCs w:val="26"/>
        </w:rPr>
        <w:t>Amministrazione trasparente</w:t>
      </w:r>
      <w:r>
        <w:rPr>
          <w:rFonts w:ascii="Palatino Linotype" w:hAnsi="Palatino Linotype"/>
          <w:sz w:val="26"/>
          <w:szCs w:val="26"/>
        </w:rPr>
        <w:t>”, nonché i relativi referenti.</w:t>
      </w:r>
    </w:p>
    <w:p w14:paraId="76E32629" w14:textId="77777777" w:rsidR="00B626BE" w:rsidRDefault="00B626BE" w:rsidP="00B626BE">
      <w:pPr>
        <w:spacing w:after="0" w:line="360" w:lineRule="exact"/>
        <w:jc w:val="both"/>
        <w:rPr>
          <w:rFonts w:ascii="Palatino Linotype" w:hAnsi="Palatino Linotype"/>
          <w:sz w:val="26"/>
          <w:szCs w:val="26"/>
        </w:rPr>
      </w:pPr>
    </w:p>
    <w:tbl>
      <w:tblPr>
        <w:tblW w:w="96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995"/>
        <w:gridCol w:w="2963"/>
        <w:gridCol w:w="2140"/>
        <w:gridCol w:w="2592"/>
      </w:tblGrid>
      <w:tr w:rsidR="00B626BE" w14:paraId="5353B065" w14:textId="77777777" w:rsidTr="00CF2A20">
        <w:trPr>
          <w:trHeight w:val="689"/>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0" w:type="dxa"/>
            </w:tcMar>
          </w:tcPr>
          <w:p w14:paraId="033BEBD5" w14:textId="77777777" w:rsidR="00B626BE" w:rsidRDefault="00B626BE" w:rsidP="00CF2A20">
            <w:pPr>
              <w:spacing w:after="0" w:line="360" w:lineRule="exact"/>
              <w:ind w:left="9"/>
              <w:jc w:val="center"/>
              <w:rPr>
                <w:rFonts w:ascii="Palatino Linotype" w:hAnsi="Palatino Linotype"/>
                <w:b/>
                <w:sz w:val="20"/>
                <w:szCs w:val="20"/>
              </w:rPr>
            </w:pPr>
            <w:r>
              <w:rPr>
                <w:rFonts w:ascii="Palatino Linotype" w:hAnsi="Palatino Linotype"/>
                <w:b/>
                <w:sz w:val="20"/>
                <w:szCs w:val="20"/>
              </w:rPr>
              <w:t>Macrofamiglie</w:t>
            </w:r>
          </w:p>
        </w:tc>
        <w:tc>
          <w:tcPr>
            <w:tcW w:w="296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0" w:type="dxa"/>
            </w:tcMar>
          </w:tcPr>
          <w:p w14:paraId="2CD30473" w14:textId="77777777" w:rsidR="00B626BE" w:rsidRDefault="00B626BE" w:rsidP="00CF2A20">
            <w:pPr>
              <w:spacing w:after="0"/>
              <w:jc w:val="center"/>
              <w:rPr>
                <w:rFonts w:ascii="Palatino Linotype" w:hAnsi="Palatino Linotype"/>
                <w:b/>
                <w:sz w:val="20"/>
                <w:szCs w:val="20"/>
              </w:rPr>
            </w:pPr>
            <w:r>
              <w:rPr>
                <w:rFonts w:ascii="Palatino Linotype" w:hAnsi="Palatino Linotype"/>
                <w:b/>
                <w:sz w:val="20"/>
                <w:szCs w:val="20"/>
              </w:rPr>
              <w:t>Tipologie di atti / riferimenti normativi</w:t>
            </w:r>
          </w:p>
        </w:tc>
        <w:tc>
          <w:tcPr>
            <w:tcW w:w="214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0" w:type="dxa"/>
            </w:tcMar>
          </w:tcPr>
          <w:p w14:paraId="365E80DA" w14:textId="77777777" w:rsidR="00B626BE" w:rsidRDefault="00B626BE" w:rsidP="00CF2A20">
            <w:pPr>
              <w:spacing w:after="0"/>
              <w:jc w:val="center"/>
              <w:rPr>
                <w:rFonts w:ascii="Palatino Linotype" w:hAnsi="Palatino Linotype"/>
                <w:b/>
                <w:sz w:val="20"/>
                <w:szCs w:val="20"/>
              </w:rPr>
            </w:pPr>
            <w:r>
              <w:rPr>
                <w:rFonts w:ascii="Palatino Linotype" w:hAnsi="Palatino Linotype"/>
                <w:b/>
                <w:sz w:val="20"/>
                <w:szCs w:val="20"/>
              </w:rPr>
              <w:t>Referenti</w:t>
            </w:r>
          </w:p>
          <w:p w14:paraId="62820A34" w14:textId="77777777" w:rsidR="00B626BE" w:rsidRDefault="00B626BE" w:rsidP="00CF2A20">
            <w:pPr>
              <w:spacing w:after="0"/>
              <w:jc w:val="center"/>
              <w:rPr>
                <w:rFonts w:ascii="Palatino Linotype" w:hAnsi="Palatino Linotype"/>
                <w:b/>
                <w:sz w:val="20"/>
                <w:szCs w:val="20"/>
              </w:rPr>
            </w:pPr>
          </w:p>
        </w:tc>
        <w:tc>
          <w:tcPr>
            <w:tcW w:w="25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0" w:type="dxa"/>
            </w:tcMar>
          </w:tcPr>
          <w:p w14:paraId="31CE5305" w14:textId="77777777" w:rsidR="00B626BE" w:rsidRDefault="00B626BE" w:rsidP="00CF2A20">
            <w:pPr>
              <w:jc w:val="center"/>
              <w:rPr>
                <w:rFonts w:ascii="Palatino Linotype" w:hAnsi="Palatino Linotype"/>
                <w:b/>
                <w:sz w:val="20"/>
                <w:szCs w:val="20"/>
              </w:rPr>
            </w:pPr>
            <w:r>
              <w:rPr>
                <w:rFonts w:ascii="Palatino Linotype" w:hAnsi="Palatino Linotype"/>
                <w:b/>
                <w:sz w:val="20"/>
                <w:szCs w:val="20"/>
              </w:rPr>
              <w:t>Tempistiche</w:t>
            </w:r>
          </w:p>
        </w:tc>
      </w:tr>
      <w:tr w:rsidR="00B626BE" w14:paraId="3EE1F9D7" w14:textId="77777777" w:rsidTr="00CF2A20">
        <w:trPr>
          <w:trHeight w:val="996"/>
          <w:jc w:val="center"/>
        </w:trPr>
        <w:tc>
          <w:tcPr>
            <w:tcW w:w="1994"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CA2FAC4"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Disposizioni generali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7B1682" w14:textId="77777777" w:rsidR="00B626BE" w:rsidRDefault="00B626BE" w:rsidP="00CF2A20">
            <w:pPr>
              <w:spacing w:after="0"/>
              <w:jc w:val="both"/>
              <w:rPr>
                <w:rFonts w:ascii="Palatino Linotype" w:hAnsi="Palatino Linotype"/>
                <w:sz w:val="18"/>
                <w:szCs w:val="18"/>
              </w:rPr>
            </w:pPr>
            <w:r>
              <w:rPr>
                <w:rFonts w:ascii="Palatino Linotype" w:hAnsi="Palatino Linotype"/>
                <w:sz w:val="18"/>
                <w:szCs w:val="18"/>
              </w:rPr>
              <w:t xml:space="preserve">PTPC e PTTI </w:t>
            </w:r>
            <w:r>
              <w:rPr>
                <w:rFonts w:ascii="Palatino Linotype" w:hAnsi="Palatino Linotype"/>
                <w:sz w:val="18"/>
                <w:szCs w:val="18"/>
                <w:lang w:val="en-US"/>
              </w:rPr>
              <w:t xml:space="preserve">[art. 10, c. 8, </w:t>
            </w:r>
            <w:proofErr w:type="spellStart"/>
            <w:r>
              <w:rPr>
                <w:rFonts w:ascii="Palatino Linotype" w:hAnsi="Palatino Linotype"/>
                <w:sz w:val="18"/>
                <w:szCs w:val="18"/>
                <w:lang w:val="en-US"/>
              </w:rPr>
              <w:t>lett</w:t>
            </w:r>
            <w:proofErr w:type="spellEnd"/>
            <w:r>
              <w:rPr>
                <w:rFonts w:ascii="Palatino Linotype" w:hAnsi="Palatino Linotype"/>
                <w:sz w:val="18"/>
                <w:szCs w:val="18"/>
                <w:lang w:val="en-US"/>
              </w:rPr>
              <w:t>. a),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1B42E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Responsabile della prevenzione della corruzione – Responsabile della Trasparenza</w:t>
            </w: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E1A0C8" w14:textId="77777777" w:rsidR="00B626BE" w:rsidRDefault="00B626BE" w:rsidP="00CF2A20">
            <w:pPr>
              <w:jc w:val="both"/>
              <w:rPr>
                <w:rFonts w:ascii="Palatino Linotype" w:hAnsi="Palatino Linotype"/>
                <w:sz w:val="18"/>
                <w:szCs w:val="18"/>
              </w:rPr>
            </w:pPr>
            <w:r>
              <w:rPr>
                <w:rFonts w:ascii="Palatino Linotype" w:hAnsi="Palatino Linotype"/>
                <w:sz w:val="18"/>
                <w:szCs w:val="18"/>
              </w:rPr>
              <w:t>31 gennaio</w:t>
            </w:r>
          </w:p>
        </w:tc>
      </w:tr>
      <w:tr w:rsidR="00B626BE" w14:paraId="3623C5FD" w14:textId="77777777" w:rsidTr="00CF2A20">
        <w:trPr>
          <w:trHeight w:val="580"/>
          <w:jc w:val="center"/>
        </w:trPr>
        <w:tc>
          <w:tcPr>
            <w:tcW w:w="1994"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3A7722" w14:textId="77777777" w:rsidR="00B626BE" w:rsidRDefault="00B626BE" w:rsidP="00CF2A20">
            <w:pPr>
              <w:spacing w:after="0" w:line="360" w:lineRule="exact"/>
              <w:ind w:left="9"/>
              <w:jc w:val="both"/>
              <w:rPr>
                <w:rFonts w:ascii="Palatino Linotype" w:hAnsi="Palatino Linotype"/>
                <w:sz w:val="18"/>
                <w:szCs w:val="18"/>
              </w:rPr>
            </w:pP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F93EE0" w14:textId="77777777" w:rsidR="00B626BE" w:rsidRDefault="00B626BE" w:rsidP="00CF2A20">
            <w:pPr>
              <w:jc w:val="both"/>
              <w:rPr>
                <w:rFonts w:ascii="Palatino Linotype" w:hAnsi="Palatino Linotype"/>
                <w:sz w:val="18"/>
                <w:szCs w:val="18"/>
              </w:rPr>
            </w:pPr>
            <w:r>
              <w:rPr>
                <w:rFonts w:ascii="Palatino Linotype" w:hAnsi="Palatino Linotype"/>
                <w:sz w:val="18"/>
                <w:szCs w:val="18"/>
              </w:rPr>
              <w:t>Atti a valenza generale per gli iscritti [art. 12, c. 1, d.lgs. 33/2013]</w:t>
            </w:r>
          </w:p>
          <w:p w14:paraId="2BEDE407" w14:textId="77777777" w:rsidR="00B626BE" w:rsidRDefault="00B626BE" w:rsidP="00CF2A20">
            <w:pPr>
              <w:jc w:val="both"/>
              <w:rPr>
                <w:rFonts w:ascii="Palatino Linotype" w:hAnsi="Palatino Linotype"/>
                <w:sz w:val="18"/>
                <w:szCs w:val="18"/>
              </w:rPr>
            </w:pPr>
            <w:r>
              <w:rPr>
                <w:rFonts w:ascii="Palatino Linotype" w:hAnsi="Palatino Linotype"/>
                <w:sz w:val="18"/>
                <w:szCs w:val="18"/>
              </w:rPr>
              <w:t>Oneri informativi per cittadini e imprese [art. 34, commi 1 e 2,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51B369" w14:textId="77777777" w:rsidR="00B626BE" w:rsidRDefault="00B626BE" w:rsidP="00CF2A20">
            <w:pPr>
              <w:jc w:val="both"/>
              <w:rPr>
                <w:rFonts w:ascii="Palatino Linotype" w:hAnsi="Palatino Linotype"/>
                <w:sz w:val="18"/>
                <w:szCs w:val="18"/>
              </w:rPr>
            </w:pPr>
            <w:r>
              <w:rPr>
                <w:rFonts w:ascii="Palatino Linotype" w:hAnsi="Palatino Linotype"/>
                <w:sz w:val="18"/>
                <w:szCs w:val="18"/>
              </w:rPr>
              <w:t>Segreteria Generale – Ufficio Amministrativo</w:t>
            </w: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5CBF4D"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15 giorni dall’approvazione</w:t>
            </w:r>
          </w:p>
        </w:tc>
      </w:tr>
      <w:tr w:rsidR="00B626BE" w14:paraId="5D18A0CB" w14:textId="77777777" w:rsidTr="00CF2A20">
        <w:trPr>
          <w:trHeight w:val="580"/>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56F4CA9"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Organizzazione</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DCA963" w14:textId="77777777" w:rsidR="00B626BE" w:rsidRDefault="00B626BE" w:rsidP="00CF2A20">
            <w:pPr>
              <w:jc w:val="both"/>
              <w:rPr>
                <w:rFonts w:ascii="Palatino Linotype" w:hAnsi="Palatino Linotype"/>
                <w:sz w:val="18"/>
                <w:szCs w:val="18"/>
              </w:rPr>
            </w:pPr>
            <w:r>
              <w:rPr>
                <w:rFonts w:ascii="Palatino Linotype" w:hAnsi="Palatino Linotype"/>
                <w:sz w:val="18"/>
                <w:szCs w:val="18"/>
              </w:rPr>
              <w:t>Articolazione degli Uffici [art. 13, c. 1, lett. b) e c), d.lgs. 33/2013]</w:t>
            </w:r>
          </w:p>
          <w:p w14:paraId="515B2B6E"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Telefono e posta elettronica [art. 13, c.1, </w:t>
            </w:r>
            <w:proofErr w:type="spellStart"/>
            <w:r>
              <w:rPr>
                <w:rFonts w:ascii="Palatino Linotype" w:hAnsi="Palatino Linotype"/>
                <w:sz w:val="18"/>
                <w:szCs w:val="18"/>
              </w:rPr>
              <w:t>lett</w:t>
            </w:r>
            <w:proofErr w:type="spellEnd"/>
            <w:r>
              <w:rPr>
                <w:rFonts w:ascii="Palatino Linotype" w:hAnsi="Palatino Linotype"/>
                <w:sz w:val="18"/>
                <w:szCs w:val="18"/>
              </w:rPr>
              <w:t xml:space="preserve"> d) d.lgs. 33/2013]</w:t>
            </w:r>
          </w:p>
          <w:p w14:paraId="319E0D74" w14:textId="77777777" w:rsidR="00B626BE" w:rsidRDefault="00B626BE" w:rsidP="00CF2A20">
            <w:pPr>
              <w:jc w:val="both"/>
              <w:rPr>
                <w:rFonts w:ascii="Palatino Linotype" w:hAnsi="Palatino Linotype"/>
                <w:sz w:val="18"/>
                <w:szCs w:val="18"/>
              </w:rPr>
            </w:pPr>
            <w:r>
              <w:rPr>
                <w:rFonts w:ascii="Palatino Linotype" w:hAnsi="Palatino Linotype"/>
                <w:sz w:val="18"/>
                <w:szCs w:val="18"/>
              </w:rPr>
              <w:lastRenderedPageBreak/>
              <w:t>Organi di indirizzo politico-amministrativo [art. 13, c. 1, lett. a) e art. 14 d.lgs. 33/2013]</w:t>
            </w:r>
          </w:p>
          <w:p w14:paraId="1776E399" w14:textId="77777777" w:rsidR="00B626BE" w:rsidRDefault="00B626BE" w:rsidP="00CF2A20">
            <w:pPr>
              <w:jc w:val="both"/>
              <w:rPr>
                <w:rFonts w:ascii="Palatino Linotype" w:hAnsi="Palatino Linotype"/>
                <w:sz w:val="18"/>
                <w:szCs w:val="18"/>
              </w:rPr>
            </w:pPr>
            <w:r>
              <w:rPr>
                <w:rFonts w:ascii="Palatino Linotype" w:hAnsi="Palatino Linotype"/>
                <w:sz w:val="18"/>
                <w:szCs w:val="18"/>
              </w:rPr>
              <w:t>Sanzioni per mancata comunicazione dei dati [art. 47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70630DC" w14:textId="77777777" w:rsidR="00B626BE" w:rsidRDefault="00B626BE" w:rsidP="00CF2A20">
            <w:pPr>
              <w:jc w:val="both"/>
              <w:rPr>
                <w:rFonts w:ascii="Palatino Linotype" w:hAnsi="Palatino Linotype"/>
                <w:sz w:val="18"/>
                <w:szCs w:val="18"/>
              </w:rPr>
            </w:pPr>
            <w:r>
              <w:rPr>
                <w:rFonts w:ascii="Palatino Linotype" w:hAnsi="Palatino Linotype"/>
                <w:sz w:val="18"/>
                <w:szCs w:val="18"/>
              </w:rPr>
              <w:lastRenderedPageBreak/>
              <w:t>Segreteria Generale – Ufficio Amministrativo</w:t>
            </w: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8D3E50" w14:textId="77777777" w:rsidR="00B626BE" w:rsidRDefault="00B626BE" w:rsidP="00CF2A20">
            <w:pPr>
              <w:spacing w:after="120"/>
              <w:jc w:val="both"/>
              <w:rPr>
                <w:rFonts w:ascii="Palatino Linotype" w:hAnsi="Palatino Linotype"/>
                <w:sz w:val="18"/>
                <w:szCs w:val="18"/>
              </w:rPr>
            </w:pPr>
            <w:r>
              <w:rPr>
                <w:rFonts w:ascii="Palatino Linotype" w:hAnsi="Palatino Linotype"/>
                <w:sz w:val="18"/>
                <w:szCs w:val="18"/>
              </w:rPr>
              <w:t>Entro 15 giorni dall’eventuale aggiornamento</w:t>
            </w:r>
          </w:p>
          <w:p w14:paraId="6C9C6D75" w14:textId="77777777" w:rsidR="00B626BE" w:rsidRDefault="00B626BE" w:rsidP="00CF2A20">
            <w:pPr>
              <w:spacing w:after="120"/>
              <w:jc w:val="both"/>
              <w:rPr>
                <w:rFonts w:ascii="Palatino Linotype" w:hAnsi="Palatino Linotype"/>
                <w:sz w:val="18"/>
                <w:szCs w:val="18"/>
              </w:rPr>
            </w:pPr>
            <w:r>
              <w:rPr>
                <w:rFonts w:ascii="Palatino Linotype" w:hAnsi="Palatino Linotype"/>
                <w:sz w:val="18"/>
                <w:szCs w:val="18"/>
              </w:rPr>
              <w:t>Entro 5 giorni dall’eventuale aggiornamento</w:t>
            </w:r>
          </w:p>
          <w:p w14:paraId="48201F02" w14:textId="77777777" w:rsidR="00B626BE" w:rsidRDefault="00B626BE" w:rsidP="00CF2A20">
            <w:pPr>
              <w:spacing w:after="120"/>
              <w:jc w:val="both"/>
              <w:rPr>
                <w:rFonts w:ascii="Palatino Linotype" w:hAnsi="Palatino Linotype"/>
                <w:sz w:val="18"/>
                <w:szCs w:val="18"/>
              </w:rPr>
            </w:pPr>
            <w:r>
              <w:rPr>
                <w:rFonts w:ascii="Palatino Linotype" w:hAnsi="Palatino Linotype"/>
                <w:sz w:val="18"/>
                <w:szCs w:val="18"/>
              </w:rPr>
              <w:lastRenderedPageBreak/>
              <w:t>Entro 15 giorni dall’eventuale aggiornamento</w:t>
            </w:r>
          </w:p>
          <w:p w14:paraId="13527329" w14:textId="77777777" w:rsidR="00B626BE" w:rsidRDefault="00B626BE" w:rsidP="00CF2A20">
            <w:pPr>
              <w:jc w:val="both"/>
              <w:rPr>
                <w:rFonts w:ascii="Palatino Linotype" w:hAnsi="Palatino Linotype"/>
                <w:sz w:val="18"/>
                <w:szCs w:val="18"/>
              </w:rPr>
            </w:pPr>
          </w:p>
        </w:tc>
      </w:tr>
      <w:tr w:rsidR="00B626BE" w14:paraId="5C383DC3" w14:textId="77777777" w:rsidTr="00CF2A20">
        <w:trPr>
          <w:trHeight w:val="580"/>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4DD6EBB"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lastRenderedPageBreak/>
              <w:t>Dotazione organica</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EDAD64" w14:textId="77777777" w:rsidR="00B626BE" w:rsidRDefault="00B626BE" w:rsidP="00CF2A20">
            <w:pPr>
              <w:jc w:val="both"/>
              <w:rPr>
                <w:rFonts w:ascii="Palatino Linotype" w:hAnsi="Palatino Linotype"/>
                <w:sz w:val="18"/>
                <w:szCs w:val="18"/>
              </w:rPr>
            </w:pPr>
            <w:r>
              <w:rPr>
                <w:rFonts w:ascii="Palatino Linotype" w:hAnsi="Palatino Linotype"/>
                <w:sz w:val="18"/>
                <w:szCs w:val="18"/>
              </w:rPr>
              <w:t>Personale a tempo indeterminato [art. 16 d.lgs. 33/2013]</w:t>
            </w:r>
          </w:p>
          <w:p w14:paraId="7221844E" w14:textId="77777777" w:rsidR="00B626BE" w:rsidRDefault="00B626BE" w:rsidP="00CF2A20">
            <w:pPr>
              <w:jc w:val="both"/>
              <w:rPr>
                <w:rFonts w:ascii="Palatino Linotype" w:hAnsi="Palatino Linotype"/>
                <w:sz w:val="18"/>
                <w:szCs w:val="18"/>
              </w:rPr>
            </w:pPr>
            <w:r>
              <w:rPr>
                <w:rFonts w:ascii="Palatino Linotype" w:hAnsi="Palatino Linotype"/>
                <w:sz w:val="18"/>
                <w:szCs w:val="18"/>
              </w:rPr>
              <w:t>Personale a tempo determinato [art. 17 d.lgs. 33/2013]</w:t>
            </w:r>
          </w:p>
          <w:p w14:paraId="0ADDA045" w14:textId="77777777" w:rsidR="00B626BE" w:rsidRDefault="00B626BE" w:rsidP="00CF2A20">
            <w:pPr>
              <w:jc w:val="both"/>
              <w:rPr>
                <w:rFonts w:ascii="Palatino Linotype" w:hAnsi="Palatino Linotype"/>
                <w:sz w:val="18"/>
                <w:szCs w:val="18"/>
              </w:rPr>
            </w:pPr>
            <w:r>
              <w:rPr>
                <w:rFonts w:ascii="Palatino Linotype" w:hAnsi="Palatino Linotype"/>
                <w:sz w:val="18"/>
                <w:szCs w:val="18"/>
              </w:rPr>
              <w:t>Contrattazione collettiva e integrativa [art. 21, commi 1 e 2, d. lgs 33/2013]</w:t>
            </w:r>
          </w:p>
          <w:p w14:paraId="735A3B53" w14:textId="77777777" w:rsidR="00B626BE" w:rsidRDefault="00B626BE" w:rsidP="00CF2A20">
            <w:pPr>
              <w:jc w:val="both"/>
              <w:rPr>
                <w:rFonts w:ascii="Palatino Linotype" w:hAnsi="Palatino Linotype"/>
                <w:sz w:val="18"/>
                <w:szCs w:val="18"/>
              </w:rPr>
            </w:pPr>
            <w:r>
              <w:rPr>
                <w:rFonts w:ascii="Palatino Linotype" w:hAnsi="Palatino Linotype"/>
                <w:sz w:val="18"/>
                <w:szCs w:val="18"/>
              </w:rPr>
              <w:t>Incarichi conferiti e autorizzati ai dipendenti [art. 18, comma 1, d.lgs. 13/2013]</w:t>
            </w:r>
          </w:p>
          <w:p w14:paraId="67A2CB3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Tassi di assenza [art. 16, comma 3,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5A3AAB"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Segreteria Generale – Ufficio </w:t>
            </w:r>
            <w:proofErr w:type="spellStart"/>
            <w:r>
              <w:rPr>
                <w:rFonts w:ascii="Palatino Linotype" w:hAnsi="Palatino Linotype"/>
                <w:sz w:val="18"/>
                <w:szCs w:val="18"/>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899579"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15 giorni dall’eventuale aggiornamento</w:t>
            </w:r>
          </w:p>
        </w:tc>
      </w:tr>
      <w:tr w:rsidR="00B626BE" w14:paraId="240D17DA" w14:textId="77777777" w:rsidTr="00CF2A20">
        <w:trPr>
          <w:trHeight w:val="476"/>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A656F3" w14:textId="77777777" w:rsidR="00B626BE" w:rsidRDefault="00B626BE" w:rsidP="00CF2A20">
            <w:pPr>
              <w:spacing w:after="0" w:line="360" w:lineRule="exact"/>
              <w:ind w:left="9"/>
              <w:rPr>
                <w:rFonts w:ascii="Palatino Linotype" w:hAnsi="Palatino Linotype"/>
                <w:sz w:val="18"/>
                <w:szCs w:val="18"/>
                <w:shd w:val="clear" w:color="auto" w:fill="FFFF00"/>
              </w:rPr>
            </w:pPr>
            <w:r>
              <w:rPr>
                <w:rFonts w:ascii="Palatino Linotype" w:hAnsi="Palatino Linotype"/>
                <w:sz w:val="18"/>
                <w:szCs w:val="18"/>
                <w:shd w:val="clear" w:color="auto" w:fill="FFFF00"/>
              </w:rPr>
              <w:t>Dirigenti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62A4CF" w14:textId="77777777" w:rsidR="00B626BE" w:rsidRDefault="00B626BE" w:rsidP="00CF2A20">
            <w:pPr>
              <w:jc w:val="both"/>
              <w:rPr>
                <w:rFonts w:ascii="Palatino Linotype" w:hAnsi="Palatino Linotype"/>
                <w:sz w:val="18"/>
                <w:szCs w:val="18"/>
                <w:shd w:val="clear" w:color="auto" w:fill="FFFF00"/>
              </w:rPr>
            </w:pPr>
            <w:r>
              <w:rPr>
                <w:rFonts w:ascii="Palatino Linotype" w:hAnsi="Palatino Linotype"/>
                <w:sz w:val="18"/>
                <w:szCs w:val="18"/>
                <w:shd w:val="clear" w:color="auto" w:fill="FFFF00"/>
              </w:rPr>
              <w:t>art. 15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596ED7" w14:textId="77777777" w:rsidR="00B626BE" w:rsidRDefault="00B626BE" w:rsidP="00CF2A20">
            <w:pPr>
              <w:jc w:val="both"/>
              <w:rPr>
                <w:rFonts w:ascii="Palatino Linotype" w:hAnsi="Palatino Linotype"/>
                <w:sz w:val="18"/>
                <w:szCs w:val="18"/>
                <w:shd w:val="clear" w:color="auto" w:fill="FFFF00"/>
              </w:rPr>
            </w:pPr>
            <w:r>
              <w:rPr>
                <w:rFonts w:ascii="Palatino Linotype" w:hAnsi="Palatino Linotype"/>
                <w:sz w:val="18"/>
                <w:szCs w:val="18"/>
                <w:shd w:val="clear" w:color="auto" w:fill="FFFF00"/>
              </w:rPr>
              <w:t xml:space="preserve">Segreteria Generale – Ufficio </w:t>
            </w:r>
            <w:proofErr w:type="spellStart"/>
            <w:r>
              <w:rPr>
                <w:rFonts w:ascii="Palatino Linotype" w:hAnsi="Palatino Linotype"/>
                <w:sz w:val="18"/>
                <w:szCs w:val="18"/>
                <w:shd w:val="clear" w:color="auto" w:fill="FFFF00"/>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FE1F8D" w14:textId="77777777" w:rsidR="00B626BE" w:rsidRDefault="00B626BE" w:rsidP="00CF2A20">
            <w:pPr>
              <w:jc w:val="both"/>
              <w:rPr>
                <w:rFonts w:ascii="Palatino Linotype" w:hAnsi="Palatino Linotype"/>
                <w:sz w:val="18"/>
                <w:szCs w:val="18"/>
              </w:rPr>
            </w:pPr>
            <w:r>
              <w:rPr>
                <w:rFonts w:ascii="Palatino Linotype" w:hAnsi="Palatino Linotype"/>
                <w:sz w:val="18"/>
                <w:szCs w:val="18"/>
                <w:shd w:val="clear" w:color="auto" w:fill="FFFF00"/>
              </w:rPr>
              <w:t>Entro 15 giorni dall’eventuale aggiornamento</w:t>
            </w:r>
          </w:p>
        </w:tc>
      </w:tr>
      <w:tr w:rsidR="00B626BE" w14:paraId="7A58DF87" w14:textId="77777777" w:rsidTr="00CF2A20">
        <w:trPr>
          <w:trHeight w:val="580"/>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558BF71"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Consulenti e collaboratori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B5233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Incarichi [art. 15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8142A81"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Segreteria Generale – Ufficio </w:t>
            </w:r>
            <w:proofErr w:type="spellStart"/>
            <w:r>
              <w:rPr>
                <w:rFonts w:ascii="Palatino Linotype" w:hAnsi="Palatino Linotype"/>
                <w:sz w:val="18"/>
                <w:szCs w:val="18"/>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AF5B9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10 giorni dalla deliberazione dell’Ente</w:t>
            </w:r>
          </w:p>
        </w:tc>
      </w:tr>
      <w:tr w:rsidR="00B626BE" w14:paraId="41A94D44" w14:textId="77777777" w:rsidTr="00CF2A20">
        <w:trPr>
          <w:trHeight w:val="580"/>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E844909"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Enti controllati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F2B60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Enti pubblici vigilati [art. 22 </w:t>
            </w:r>
            <w:proofErr w:type="spellStart"/>
            <w:r>
              <w:rPr>
                <w:rFonts w:ascii="Palatino Linotype" w:hAnsi="Palatino Linotype"/>
                <w:sz w:val="18"/>
                <w:szCs w:val="18"/>
              </w:rPr>
              <w:t>lett</w:t>
            </w:r>
            <w:proofErr w:type="spellEnd"/>
            <w:r>
              <w:rPr>
                <w:rFonts w:ascii="Palatino Linotype" w:hAnsi="Palatino Linotype"/>
                <w:sz w:val="18"/>
                <w:szCs w:val="18"/>
              </w:rPr>
              <w:t xml:space="preserve"> a) d.lgs. 33/2013]</w:t>
            </w:r>
          </w:p>
          <w:p w14:paraId="413D5F77" w14:textId="77777777" w:rsidR="00B626BE" w:rsidRDefault="00B626BE" w:rsidP="00CF2A20">
            <w:pPr>
              <w:jc w:val="both"/>
              <w:rPr>
                <w:rFonts w:ascii="Palatino Linotype" w:hAnsi="Palatino Linotype"/>
                <w:sz w:val="18"/>
                <w:szCs w:val="18"/>
              </w:rPr>
            </w:pPr>
            <w:r>
              <w:rPr>
                <w:rFonts w:ascii="Palatino Linotype" w:hAnsi="Palatino Linotype"/>
                <w:sz w:val="18"/>
                <w:szCs w:val="18"/>
              </w:rPr>
              <w:t>Società partecipate [art. 22 lett. b) d.lgs. 33/2013]</w:t>
            </w:r>
          </w:p>
          <w:p w14:paraId="6A843211"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Enti di diritto privato controllati [art. 22 lett. c) d.lgs. 33/2013]</w:t>
            </w:r>
          </w:p>
          <w:p w14:paraId="6C81AE35" w14:textId="77777777" w:rsidR="00B626BE" w:rsidRDefault="00B626BE" w:rsidP="00CF2A20">
            <w:pPr>
              <w:jc w:val="both"/>
              <w:rPr>
                <w:rFonts w:ascii="Palatino Linotype" w:hAnsi="Palatino Linotype"/>
                <w:sz w:val="18"/>
                <w:szCs w:val="18"/>
              </w:rPr>
            </w:pPr>
            <w:r>
              <w:rPr>
                <w:rFonts w:ascii="Palatino Linotype" w:hAnsi="Palatino Linotype"/>
                <w:sz w:val="18"/>
                <w:szCs w:val="18"/>
              </w:rPr>
              <w:t>Rappresentazione grafica [art.22, comma 1, lett. d)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05270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Ufficio </w:t>
            </w:r>
            <w:proofErr w:type="spellStart"/>
            <w:r>
              <w:rPr>
                <w:rFonts w:ascii="Palatino Linotype" w:hAnsi="Palatino Linotype"/>
                <w:sz w:val="18"/>
                <w:szCs w:val="18"/>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B64607"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15 giorni dall’eventuale aggiornamento</w:t>
            </w:r>
          </w:p>
        </w:tc>
      </w:tr>
      <w:tr w:rsidR="00B626BE" w14:paraId="3E288E94" w14:textId="77777777" w:rsidTr="00CF2A20">
        <w:trPr>
          <w:trHeight w:val="2382"/>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705F190"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Attività e procedimenti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10DC34" w14:textId="77777777" w:rsidR="00B626BE" w:rsidRDefault="00B626BE" w:rsidP="00CF2A20">
            <w:pPr>
              <w:jc w:val="both"/>
              <w:rPr>
                <w:rFonts w:ascii="Palatino Linotype" w:hAnsi="Palatino Linotype"/>
                <w:sz w:val="18"/>
                <w:szCs w:val="18"/>
              </w:rPr>
            </w:pPr>
            <w:r>
              <w:rPr>
                <w:rFonts w:ascii="Palatino Linotype" w:hAnsi="Palatino Linotype"/>
                <w:sz w:val="18"/>
                <w:szCs w:val="18"/>
              </w:rPr>
              <w:t>Tipologie di procedimento [art. 35, commi 1 e 2 d.lgs. 33/2013]</w:t>
            </w:r>
          </w:p>
          <w:p w14:paraId="53DCAE40" w14:textId="77777777" w:rsidR="00B626BE" w:rsidRDefault="00B626BE" w:rsidP="00CF2A20">
            <w:pPr>
              <w:jc w:val="both"/>
              <w:rPr>
                <w:rFonts w:ascii="Palatino Linotype" w:hAnsi="Palatino Linotype"/>
                <w:sz w:val="18"/>
                <w:szCs w:val="18"/>
              </w:rPr>
            </w:pPr>
            <w:r>
              <w:rPr>
                <w:rFonts w:ascii="Palatino Linotype" w:hAnsi="Palatino Linotype"/>
                <w:sz w:val="18"/>
                <w:szCs w:val="18"/>
              </w:rPr>
              <w:t>Dichiarazioni sostitutive e acquisizioni d’ufficio dei dati [art. 35, comma 3, d.lgs. 33/2013]</w:t>
            </w:r>
          </w:p>
          <w:p w14:paraId="5415B4A6" w14:textId="77777777" w:rsidR="00B626BE" w:rsidRDefault="00B626BE" w:rsidP="00CF2A20">
            <w:pPr>
              <w:jc w:val="both"/>
              <w:rPr>
                <w:rFonts w:ascii="Palatino Linotype" w:hAnsi="Palatino Linotype"/>
                <w:sz w:val="18"/>
                <w:szCs w:val="18"/>
              </w:rPr>
            </w:pPr>
            <w:r>
              <w:rPr>
                <w:rFonts w:ascii="Palatino Linotype" w:hAnsi="Palatino Linotype"/>
                <w:sz w:val="18"/>
                <w:szCs w:val="18"/>
              </w:rPr>
              <w:t>Monitoraggio tempi procedimentali [art. 24, comma 2, d.lgs. 33/2013]</w:t>
            </w:r>
          </w:p>
          <w:p w14:paraId="5FC0379E" w14:textId="77777777" w:rsidR="00B626BE" w:rsidRDefault="00B626BE" w:rsidP="00CF2A20">
            <w:pPr>
              <w:jc w:val="both"/>
              <w:rPr>
                <w:rFonts w:ascii="Palatino Linotype" w:hAnsi="Palatino Linotype"/>
                <w:sz w:val="18"/>
                <w:szCs w:val="18"/>
              </w:rPr>
            </w:pPr>
            <w:r>
              <w:rPr>
                <w:rFonts w:ascii="Palatino Linotype" w:hAnsi="Palatino Linotype"/>
                <w:sz w:val="18"/>
                <w:szCs w:val="18"/>
              </w:rPr>
              <w:t>Dati aggregati attività amministrativa [art. 24, comma 1. D. 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229724"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Ufficio </w:t>
            </w:r>
            <w:proofErr w:type="spellStart"/>
            <w:r>
              <w:rPr>
                <w:rFonts w:ascii="Palatino Linotype" w:hAnsi="Palatino Linotype"/>
                <w:sz w:val="18"/>
                <w:szCs w:val="18"/>
              </w:rPr>
              <w:t>Amm.vo</w:t>
            </w:r>
            <w:proofErr w:type="spellEnd"/>
            <w:r>
              <w:rPr>
                <w:rFonts w:ascii="Palatino Linotype" w:hAnsi="Palatino Linotype"/>
                <w:sz w:val="18"/>
                <w:szCs w:val="18"/>
              </w:rPr>
              <w:t xml:space="preserve"> </w:t>
            </w: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60D2BC1"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15 giorni dall’eventuale aggiornamento</w:t>
            </w:r>
          </w:p>
          <w:p w14:paraId="42543F57" w14:textId="77777777" w:rsidR="00B626BE" w:rsidRDefault="00B626BE" w:rsidP="00CF2A20">
            <w:pPr>
              <w:jc w:val="both"/>
              <w:rPr>
                <w:rFonts w:ascii="Palatino Linotype" w:hAnsi="Palatino Linotype"/>
                <w:sz w:val="18"/>
                <w:szCs w:val="18"/>
              </w:rPr>
            </w:pPr>
          </w:p>
          <w:p w14:paraId="350EB73C" w14:textId="77777777" w:rsidR="00B626BE" w:rsidRDefault="00B626BE" w:rsidP="00CF2A20">
            <w:pPr>
              <w:jc w:val="both"/>
              <w:rPr>
                <w:rFonts w:ascii="Palatino Linotype" w:hAnsi="Palatino Linotype"/>
                <w:sz w:val="18"/>
                <w:szCs w:val="18"/>
              </w:rPr>
            </w:pPr>
          </w:p>
          <w:p w14:paraId="10984F58" w14:textId="77777777" w:rsidR="00B626BE" w:rsidRDefault="00B626BE" w:rsidP="00CF2A20">
            <w:pPr>
              <w:jc w:val="both"/>
              <w:rPr>
                <w:rFonts w:ascii="Palatino Linotype" w:hAnsi="Palatino Linotype"/>
                <w:sz w:val="18"/>
                <w:szCs w:val="18"/>
              </w:rPr>
            </w:pPr>
            <w:r>
              <w:rPr>
                <w:rFonts w:ascii="Palatino Linotype" w:hAnsi="Palatino Linotype"/>
                <w:sz w:val="18"/>
                <w:szCs w:val="18"/>
              </w:rPr>
              <w:t>Pubblicazione entro 15 giorni dall’eventuale aggiornamento</w:t>
            </w:r>
          </w:p>
        </w:tc>
      </w:tr>
      <w:tr w:rsidR="00B626BE" w14:paraId="38F5835E" w14:textId="77777777" w:rsidTr="00CF2A20">
        <w:trPr>
          <w:trHeight w:val="580"/>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4F292AB"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lastRenderedPageBreak/>
              <w:t>Provvedimenti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F167DC" w14:textId="77777777" w:rsidR="00B626BE" w:rsidRDefault="00B626BE" w:rsidP="00CF2A20">
            <w:pPr>
              <w:jc w:val="both"/>
              <w:rPr>
                <w:rFonts w:ascii="Palatino Linotype" w:hAnsi="Palatino Linotype"/>
                <w:sz w:val="18"/>
                <w:szCs w:val="18"/>
              </w:rPr>
            </w:pPr>
            <w:r>
              <w:rPr>
                <w:rFonts w:ascii="Palatino Linotype" w:hAnsi="Palatino Linotype"/>
                <w:sz w:val="18"/>
                <w:szCs w:val="18"/>
              </w:rPr>
              <w:t>Provvedimenti organi indirizzo politico e dirigenti [art. 23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2A5689"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Ufficio </w:t>
            </w:r>
            <w:proofErr w:type="spellStart"/>
            <w:r>
              <w:rPr>
                <w:rFonts w:ascii="Palatino Linotype" w:hAnsi="Palatino Linotype"/>
                <w:sz w:val="18"/>
                <w:szCs w:val="18"/>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346AA06"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15 giorni dal provvedimento</w:t>
            </w:r>
          </w:p>
        </w:tc>
      </w:tr>
      <w:tr w:rsidR="00B626BE" w14:paraId="5FCD8B6E" w14:textId="77777777" w:rsidTr="00CF2A20">
        <w:trPr>
          <w:trHeight w:val="580"/>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DBD8929"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Sovvenzioni, contributi, sussidi, vantaggi economici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B43C5D5" w14:textId="77777777" w:rsidR="00B626BE" w:rsidRDefault="00B626BE" w:rsidP="00CF2A20">
            <w:pPr>
              <w:jc w:val="both"/>
              <w:rPr>
                <w:rFonts w:ascii="Palatino Linotype" w:hAnsi="Palatino Linotype"/>
                <w:sz w:val="18"/>
                <w:szCs w:val="18"/>
              </w:rPr>
            </w:pPr>
            <w:r>
              <w:rPr>
                <w:rFonts w:ascii="Palatino Linotype" w:hAnsi="Palatino Linotype"/>
                <w:sz w:val="18"/>
                <w:szCs w:val="18"/>
              </w:rPr>
              <w:t>Criteri e modalità [art. 26, comma 1, d.lgs. 33 /2013]</w:t>
            </w:r>
          </w:p>
          <w:p w14:paraId="62095159" w14:textId="77777777" w:rsidR="00B626BE" w:rsidRDefault="00B626BE" w:rsidP="00CF2A20">
            <w:pPr>
              <w:jc w:val="both"/>
              <w:rPr>
                <w:rFonts w:ascii="Palatino Linotype" w:hAnsi="Palatino Linotype"/>
                <w:sz w:val="18"/>
                <w:szCs w:val="18"/>
              </w:rPr>
            </w:pPr>
            <w:r>
              <w:rPr>
                <w:rFonts w:ascii="Palatino Linotype" w:hAnsi="Palatino Linotype"/>
                <w:sz w:val="18"/>
                <w:szCs w:val="18"/>
              </w:rPr>
              <w:t>Atti di concessione [art. 26, comma 2, d.lgs. 33/2013]</w:t>
            </w:r>
          </w:p>
          <w:p w14:paraId="1A829C6D" w14:textId="77777777" w:rsidR="00B626BE" w:rsidRDefault="00B626BE" w:rsidP="00CF2A20">
            <w:pPr>
              <w:jc w:val="both"/>
              <w:rPr>
                <w:rFonts w:ascii="Palatino Linotype" w:hAnsi="Palatino Linotype"/>
                <w:sz w:val="18"/>
                <w:szCs w:val="18"/>
              </w:rPr>
            </w:pPr>
            <w:r>
              <w:rPr>
                <w:rFonts w:ascii="Palatino Linotype" w:hAnsi="Palatino Linotype"/>
                <w:sz w:val="18"/>
                <w:szCs w:val="18"/>
              </w:rPr>
              <w:t>Soggetti beneficiari [art. 27 d. 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B7B3F4"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Ufficio </w:t>
            </w:r>
            <w:proofErr w:type="spellStart"/>
            <w:r>
              <w:rPr>
                <w:rFonts w:ascii="Palatino Linotype" w:hAnsi="Palatino Linotype"/>
                <w:sz w:val="18"/>
                <w:szCs w:val="18"/>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7F4D83"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15 giorni dal provvedimento</w:t>
            </w:r>
          </w:p>
        </w:tc>
      </w:tr>
      <w:tr w:rsidR="00B626BE" w14:paraId="22CBA04D" w14:textId="77777777" w:rsidTr="00CF2A20">
        <w:trPr>
          <w:trHeight w:val="978"/>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B6AE9ED" w14:textId="77777777" w:rsidR="00B626BE" w:rsidRDefault="00B626BE" w:rsidP="00CF2A20">
            <w:pPr>
              <w:spacing w:after="0" w:line="360" w:lineRule="exact"/>
              <w:rPr>
                <w:rFonts w:ascii="Palatino Linotype" w:hAnsi="Palatino Linotype"/>
                <w:sz w:val="18"/>
                <w:szCs w:val="18"/>
              </w:rPr>
            </w:pPr>
            <w:r>
              <w:rPr>
                <w:rFonts w:ascii="Palatino Linotype" w:hAnsi="Palatino Linotype"/>
                <w:sz w:val="18"/>
                <w:szCs w:val="18"/>
              </w:rPr>
              <w:t>Bandi di gara e di concorso</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9D29AC" w14:textId="77777777" w:rsidR="00B626BE" w:rsidRDefault="00B626BE" w:rsidP="00CF2A20">
            <w:pPr>
              <w:jc w:val="both"/>
              <w:rPr>
                <w:rFonts w:ascii="Palatino Linotype" w:hAnsi="Palatino Linotype"/>
                <w:sz w:val="18"/>
                <w:szCs w:val="18"/>
              </w:rPr>
            </w:pPr>
            <w:r>
              <w:rPr>
                <w:rFonts w:ascii="Palatino Linotype" w:hAnsi="Palatino Linotype"/>
                <w:sz w:val="18"/>
                <w:szCs w:val="18"/>
              </w:rPr>
              <w:t>Artt. 37 e 19 d.lgs. 33/2013</w:t>
            </w:r>
          </w:p>
          <w:p w14:paraId="4B549FFF" w14:textId="77777777" w:rsidR="00B626BE" w:rsidRDefault="00B626BE" w:rsidP="00CF2A20">
            <w:pPr>
              <w:jc w:val="both"/>
              <w:rPr>
                <w:rFonts w:ascii="Palatino Linotype" w:hAnsi="Palatino Linotype"/>
                <w:sz w:val="18"/>
                <w:szCs w:val="18"/>
              </w:rPr>
            </w:pP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88AE4DD"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Segreteria Generale – Ufficio </w:t>
            </w:r>
            <w:proofErr w:type="spellStart"/>
            <w:r>
              <w:rPr>
                <w:rFonts w:ascii="Palatino Linotype" w:hAnsi="Palatino Linotype"/>
                <w:sz w:val="18"/>
                <w:szCs w:val="18"/>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7AA2FD"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5 giorni dall’approvazione e/ secondo le modalità previste dal d.lgs. 163/20006 laddove applicabile</w:t>
            </w:r>
          </w:p>
        </w:tc>
      </w:tr>
      <w:tr w:rsidR="00B626BE" w14:paraId="20114C77" w14:textId="77777777" w:rsidTr="00CF2A20">
        <w:trPr>
          <w:trHeight w:val="777"/>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8D15C06"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Bilanci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C438E9" w14:textId="77777777" w:rsidR="00B626BE" w:rsidRDefault="00B626BE" w:rsidP="00CF2A20">
            <w:pPr>
              <w:jc w:val="both"/>
              <w:rPr>
                <w:rFonts w:ascii="Palatino Linotype" w:hAnsi="Palatino Linotype"/>
                <w:sz w:val="18"/>
                <w:szCs w:val="18"/>
              </w:rPr>
            </w:pPr>
            <w:r>
              <w:rPr>
                <w:rFonts w:ascii="Palatino Linotype" w:hAnsi="Palatino Linotype"/>
                <w:sz w:val="18"/>
                <w:szCs w:val="18"/>
              </w:rPr>
              <w:t>Bilancio preventivo e consuntivo [art. 29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C7F753" w14:textId="77777777" w:rsidR="00B626BE" w:rsidRDefault="00B626BE" w:rsidP="00CF2A20">
            <w:pPr>
              <w:jc w:val="both"/>
              <w:rPr>
                <w:rFonts w:ascii="Palatino Linotype" w:hAnsi="Palatino Linotype"/>
                <w:sz w:val="18"/>
                <w:szCs w:val="18"/>
              </w:rPr>
            </w:pPr>
            <w:r>
              <w:rPr>
                <w:rFonts w:ascii="Palatino Linotype" w:hAnsi="Palatino Linotype"/>
                <w:sz w:val="18"/>
                <w:szCs w:val="18"/>
              </w:rPr>
              <w:t>Tesoreria</w:t>
            </w: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67D2DD"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10 giorni dall’approvazione</w:t>
            </w:r>
          </w:p>
        </w:tc>
      </w:tr>
      <w:tr w:rsidR="00B626BE" w14:paraId="59669516" w14:textId="77777777" w:rsidTr="00CF2A20">
        <w:trPr>
          <w:trHeight w:val="580"/>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2AF4586"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Beni Immobili e gestione del patrimonio</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0B0CC8" w14:textId="77777777" w:rsidR="00B626BE" w:rsidRDefault="00B626BE" w:rsidP="00CF2A20">
            <w:pPr>
              <w:jc w:val="both"/>
              <w:rPr>
                <w:rFonts w:ascii="Palatino Linotype" w:hAnsi="Palatino Linotype"/>
                <w:sz w:val="18"/>
                <w:szCs w:val="18"/>
              </w:rPr>
            </w:pPr>
            <w:r>
              <w:rPr>
                <w:rFonts w:ascii="Palatino Linotype" w:hAnsi="Palatino Linotype"/>
                <w:sz w:val="18"/>
                <w:szCs w:val="18"/>
              </w:rPr>
              <w:t>Canoni di locazione e affitto [art. 30 d.lgs.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F62C19" w14:textId="77777777" w:rsidR="00B626BE" w:rsidRDefault="00B626BE" w:rsidP="00CF2A20">
            <w:pPr>
              <w:jc w:val="both"/>
              <w:rPr>
                <w:rFonts w:ascii="Palatino Linotype" w:hAnsi="Palatino Linotype"/>
                <w:sz w:val="18"/>
                <w:szCs w:val="18"/>
              </w:rPr>
            </w:pPr>
            <w:r>
              <w:rPr>
                <w:rFonts w:ascii="Palatino Linotype" w:hAnsi="Palatino Linotype"/>
                <w:sz w:val="18"/>
                <w:szCs w:val="18"/>
              </w:rPr>
              <w:t>Tesoreria</w:t>
            </w: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0693F3"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10 giorni dall’eventuale aggiornamento</w:t>
            </w:r>
          </w:p>
        </w:tc>
      </w:tr>
      <w:tr w:rsidR="00B626BE" w14:paraId="2333246B" w14:textId="77777777" w:rsidTr="00CF2A20">
        <w:trPr>
          <w:trHeight w:val="645"/>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F725597"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Pagamenti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04A719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IBAN e pagamenti informatici [art. 36 d.lgs. 33/2013]</w:t>
            </w:r>
          </w:p>
          <w:p w14:paraId="72F3E792"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Indicatore di tempestività dei pagamenti [art. 33 </w:t>
            </w:r>
            <w:proofErr w:type="spellStart"/>
            <w:r>
              <w:rPr>
                <w:rFonts w:ascii="Palatino Linotype" w:hAnsi="Palatino Linotype"/>
                <w:sz w:val="18"/>
                <w:szCs w:val="18"/>
              </w:rPr>
              <w:t>d.lgs</w:t>
            </w:r>
            <w:proofErr w:type="spellEnd"/>
            <w:r>
              <w:rPr>
                <w:rFonts w:ascii="Palatino Linotype" w:hAnsi="Palatino Linotype"/>
                <w:sz w:val="18"/>
                <w:szCs w:val="18"/>
              </w:rPr>
              <w:t xml:space="preserve"> 33/2013]</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07BDDC" w14:textId="77777777" w:rsidR="00B626BE" w:rsidRDefault="00B626BE" w:rsidP="00CF2A20">
            <w:pPr>
              <w:jc w:val="both"/>
              <w:rPr>
                <w:rFonts w:ascii="Palatino Linotype" w:hAnsi="Palatino Linotype"/>
                <w:sz w:val="18"/>
                <w:szCs w:val="18"/>
              </w:rPr>
            </w:pPr>
            <w:r>
              <w:rPr>
                <w:rFonts w:ascii="Palatino Linotype" w:hAnsi="Palatino Linotype"/>
                <w:sz w:val="18"/>
                <w:szCs w:val="18"/>
              </w:rPr>
              <w:t xml:space="preserve">Tesoreria/Ufficio </w:t>
            </w:r>
            <w:proofErr w:type="spellStart"/>
            <w:r>
              <w:rPr>
                <w:rFonts w:ascii="Palatino Linotype" w:hAnsi="Palatino Linotype"/>
                <w:sz w:val="18"/>
                <w:szCs w:val="18"/>
              </w:rPr>
              <w:t>Amm.vo</w:t>
            </w:r>
            <w:proofErr w:type="spellEnd"/>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E0B511A" w14:textId="77777777" w:rsidR="00B626BE" w:rsidRDefault="00B626BE" w:rsidP="00CF2A20">
            <w:pPr>
              <w:jc w:val="both"/>
              <w:rPr>
                <w:rFonts w:ascii="Palatino Linotype" w:hAnsi="Palatino Linotype"/>
                <w:sz w:val="18"/>
                <w:szCs w:val="18"/>
              </w:rPr>
            </w:pPr>
            <w:r>
              <w:rPr>
                <w:rFonts w:ascii="Palatino Linotype" w:hAnsi="Palatino Linotype"/>
                <w:sz w:val="18"/>
                <w:szCs w:val="18"/>
              </w:rPr>
              <w:t>Entro 31 gennaio</w:t>
            </w:r>
          </w:p>
        </w:tc>
      </w:tr>
      <w:tr w:rsidR="00B626BE" w14:paraId="78F0FF47" w14:textId="77777777" w:rsidTr="00CF2A20">
        <w:trPr>
          <w:trHeight w:val="645"/>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08EBC4" w14:textId="77777777" w:rsidR="00B626BE" w:rsidRDefault="00B626BE" w:rsidP="00CF2A20">
            <w:pPr>
              <w:spacing w:after="0" w:line="360" w:lineRule="exact"/>
              <w:ind w:left="9"/>
              <w:rPr>
                <w:rFonts w:ascii="Palatino Linotype" w:hAnsi="Palatino Linotype"/>
                <w:sz w:val="18"/>
                <w:szCs w:val="18"/>
              </w:rPr>
            </w:pPr>
            <w:r>
              <w:rPr>
                <w:rFonts w:ascii="Palatino Linotype" w:hAnsi="Palatino Linotype"/>
                <w:sz w:val="18"/>
                <w:szCs w:val="18"/>
              </w:rPr>
              <w:t>Altri contenuti</w:t>
            </w:r>
          </w:p>
        </w:tc>
        <w:tc>
          <w:tcPr>
            <w:tcW w:w="2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49C8AB" w14:textId="77777777" w:rsidR="00B626BE" w:rsidRDefault="00B626BE" w:rsidP="00CF2A20">
            <w:pPr>
              <w:jc w:val="both"/>
              <w:rPr>
                <w:rFonts w:ascii="Palatino Linotype" w:hAnsi="Palatino Linotype"/>
                <w:sz w:val="18"/>
                <w:szCs w:val="18"/>
              </w:rPr>
            </w:pPr>
            <w:r>
              <w:rPr>
                <w:rFonts w:ascii="Palatino Linotype" w:hAnsi="Palatino Linotype"/>
                <w:sz w:val="18"/>
                <w:szCs w:val="18"/>
              </w:rPr>
              <w:t>Informazioni e dati non riconducibili ad alcuna delle sottosezioni previste dal D. lgs. 33/2013, quali i dati relativi al Responsabile della Prevenzione e della corruzione e al Responsabile della Trasparenza e dell’Integrità.</w:t>
            </w:r>
          </w:p>
        </w:tc>
        <w:tc>
          <w:tcPr>
            <w:tcW w:w="21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A43BBD" w14:textId="77777777" w:rsidR="00B626BE" w:rsidRDefault="00B626BE" w:rsidP="00CF2A20">
            <w:pPr>
              <w:jc w:val="both"/>
              <w:rPr>
                <w:rFonts w:ascii="Palatino Linotype" w:hAnsi="Palatino Linotype"/>
                <w:sz w:val="18"/>
                <w:szCs w:val="18"/>
              </w:rPr>
            </w:pPr>
          </w:p>
        </w:tc>
        <w:tc>
          <w:tcPr>
            <w:tcW w:w="25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947FA0" w14:textId="77777777" w:rsidR="00B626BE" w:rsidRDefault="00B626BE" w:rsidP="00CF2A20">
            <w:pPr>
              <w:jc w:val="both"/>
              <w:rPr>
                <w:rFonts w:ascii="Palatino Linotype" w:hAnsi="Palatino Linotype"/>
                <w:sz w:val="18"/>
                <w:szCs w:val="18"/>
              </w:rPr>
            </w:pPr>
          </w:p>
        </w:tc>
      </w:tr>
    </w:tbl>
    <w:p w14:paraId="507E450C" w14:textId="77777777" w:rsidR="00B626BE" w:rsidRDefault="00B626BE" w:rsidP="00B626BE">
      <w:pPr>
        <w:spacing w:after="0" w:line="360" w:lineRule="exact"/>
        <w:jc w:val="both"/>
        <w:rPr>
          <w:rFonts w:ascii="Palatino Linotype" w:hAnsi="Palatino Linotype"/>
          <w:sz w:val="26"/>
          <w:szCs w:val="26"/>
        </w:rPr>
      </w:pPr>
    </w:p>
    <w:p w14:paraId="172BB9C0" w14:textId="77777777" w:rsidR="00B626BE" w:rsidRDefault="00B626BE" w:rsidP="00B626BE">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8 – </w:t>
      </w:r>
      <w:r>
        <w:rPr>
          <w:rFonts w:ascii="Palatino Linotype" w:hAnsi="Palatino Linotype"/>
          <w:b/>
          <w:i/>
          <w:sz w:val="26"/>
          <w:szCs w:val="26"/>
        </w:rPr>
        <w:t>Pubblicazione e divulgazione del Programma Triennale</w:t>
      </w:r>
    </w:p>
    <w:p w14:paraId="0381ACCE"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La pubblicazione del Programma Triennale per la Trasparenza e l’Integrità, quale sezione del P.T.P.C., viene effettuata con le medesime modalità previste per il Piano triennale e pubblicato sul sito istituzionale del Consiglio Notarile di Brescia nella sezione “Amministrazione Trasparente”.</w:t>
      </w:r>
    </w:p>
    <w:p w14:paraId="20CF1B34" w14:textId="77777777" w:rsidR="00B626BE" w:rsidRDefault="00B626BE" w:rsidP="00B626BE">
      <w:pPr>
        <w:spacing w:after="0" w:line="360" w:lineRule="exact"/>
        <w:jc w:val="both"/>
        <w:rPr>
          <w:rFonts w:ascii="Palatino Linotype" w:hAnsi="Palatino Linotype"/>
          <w:sz w:val="26"/>
          <w:szCs w:val="26"/>
        </w:rPr>
      </w:pPr>
    </w:p>
    <w:p w14:paraId="44534E7E" w14:textId="77777777" w:rsidR="00B626BE" w:rsidRDefault="00B626BE" w:rsidP="00B626BE">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9 – </w:t>
      </w:r>
      <w:r>
        <w:rPr>
          <w:rFonts w:ascii="Palatino Linotype" w:hAnsi="Palatino Linotype"/>
          <w:b/>
          <w:i/>
          <w:sz w:val="26"/>
          <w:szCs w:val="26"/>
        </w:rPr>
        <w:t>Misure di accesso agli atti e accesso civico</w:t>
      </w:r>
    </w:p>
    <w:p w14:paraId="4AF6FEE1"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Il Consiglio Notarile di Brescia ha già dato attuazione alle norme in materia di accesso ai documenti amministrativi di cui alla Legge 7 Agosto 1990, n. 241, mediante l’adozione del “Regolamento relativo all’accesso agli atti presso il consiglio distrettuale notarile di Brescia”, finalizzato alla protezione di un interesse giuridico particolare ed esercitato solo da soggetti portatori di tali interessi.</w:t>
      </w:r>
    </w:p>
    <w:p w14:paraId="009CE60B"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lastRenderedPageBreak/>
        <w:t xml:space="preserve">Ai sensi dell’articolo 5, commi 1 e 2, del </w:t>
      </w:r>
      <w:proofErr w:type="spellStart"/>
      <w:r>
        <w:rPr>
          <w:rFonts w:ascii="Palatino Linotype" w:hAnsi="Palatino Linotype"/>
          <w:sz w:val="26"/>
          <w:szCs w:val="26"/>
        </w:rPr>
        <w:t>D.Lgs</w:t>
      </w:r>
      <w:proofErr w:type="spellEnd"/>
      <w:r>
        <w:rPr>
          <w:rFonts w:ascii="Palatino Linotype" w:hAnsi="Palatino Linotype"/>
          <w:sz w:val="26"/>
          <w:szCs w:val="26"/>
        </w:rPr>
        <w:t xml:space="preserve"> 14 marzo 2013 n. 33 la richiesta di accesso civico, presentata al Responsabile della Trasparenza, deve senz’altro essere soddisfatta laddove abbia ad oggetto documenti, informazioni o dati per i quali sia stata omessa dall’Ente la pubblicazione obbligatoria sul proprio sito istituzionale alla sezione “Amministrazione Trasparente”. </w:t>
      </w:r>
    </w:p>
    <w:p w14:paraId="1E31E17B"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In particolare, detto diritto di accesso può essere esercitato nei confronti del Consiglio inviando una richiesta, gratuita e priva di motivazione, attraverso le seguenti modalità:</w:t>
      </w:r>
    </w:p>
    <w:p w14:paraId="7AA3E8F9" w14:textId="77777777" w:rsidR="00B626BE" w:rsidRDefault="00B626BE" w:rsidP="00B626BE">
      <w:pPr>
        <w:pStyle w:val="Paragrafoelenco"/>
        <w:numPr>
          <w:ilvl w:val="0"/>
          <w:numId w:val="1"/>
        </w:numPr>
        <w:spacing w:after="0" w:line="360" w:lineRule="exact"/>
        <w:jc w:val="both"/>
      </w:pPr>
      <w:r>
        <w:rPr>
          <w:rFonts w:ascii="Palatino Linotype" w:hAnsi="Palatino Linotype"/>
          <w:sz w:val="26"/>
          <w:szCs w:val="26"/>
        </w:rPr>
        <w:t xml:space="preserve">tramite invio di e-mail al seguente indirizzo </w:t>
      </w:r>
      <w:r>
        <w:t>consigliobrescia@notariato.it</w:t>
      </w:r>
      <w:r>
        <w:rPr>
          <w:rFonts w:ascii="Palatino Linotype" w:hAnsi="Palatino Linotype"/>
          <w:sz w:val="26"/>
          <w:szCs w:val="26"/>
        </w:rPr>
        <w:t>, indicando i dati, le informazioni, i documenti soggetti ad obbligo di pubblicazione per i quali si chiede l’accesso civico, nonché le generalità del richiedente e un indirizzo postale o di posta elettronica dove poter fornire riscontro alla richiesta;</w:t>
      </w:r>
    </w:p>
    <w:p w14:paraId="7D2D941F" w14:textId="77777777" w:rsidR="00B626BE" w:rsidRDefault="00B626BE" w:rsidP="00B626BE">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mediante invio di posta ordinaria, contenente i dati di cui al punto precedente all’indirizzo del Consiglio Notarile di Brescia, alla c.a. del R.T.I., Via U. La Malfa n. 4 cap25124., città Brescia.</w:t>
      </w:r>
    </w:p>
    <w:p w14:paraId="58987500" w14:textId="77777777" w:rsidR="00B626BE" w:rsidRDefault="00B626BE" w:rsidP="00B626BE">
      <w:pPr>
        <w:spacing w:after="0" w:line="360" w:lineRule="exact"/>
        <w:ind w:left="360"/>
        <w:jc w:val="both"/>
        <w:rPr>
          <w:rFonts w:ascii="Palatino Linotype" w:hAnsi="Palatino Linotype"/>
          <w:sz w:val="26"/>
          <w:szCs w:val="26"/>
        </w:rPr>
      </w:pPr>
    </w:p>
    <w:p w14:paraId="6BCD780F" w14:textId="77777777" w:rsidR="00B626BE" w:rsidRDefault="00B626BE" w:rsidP="00B626BE">
      <w:pPr>
        <w:spacing w:after="0" w:line="360" w:lineRule="exact"/>
        <w:jc w:val="both"/>
        <w:rPr>
          <w:rFonts w:ascii="Palatino Linotype" w:hAnsi="Palatino Linotype"/>
          <w:b/>
          <w:sz w:val="26"/>
          <w:szCs w:val="26"/>
        </w:rPr>
      </w:pPr>
      <w:r>
        <w:rPr>
          <w:rFonts w:ascii="Palatino Linotype" w:hAnsi="Palatino Linotype"/>
          <w:b/>
          <w:sz w:val="26"/>
          <w:szCs w:val="26"/>
        </w:rPr>
        <w:t xml:space="preserve">Articolo 10 – </w:t>
      </w:r>
      <w:r>
        <w:rPr>
          <w:rFonts w:ascii="Palatino Linotype" w:hAnsi="Palatino Linotype"/>
          <w:b/>
          <w:i/>
          <w:sz w:val="26"/>
          <w:szCs w:val="26"/>
        </w:rPr>
        <w:t>Adempimenti ulteriori</w:t>
      </w:r>
    </w:p>
    <w:p w14:paraId="4483C957" w14:textId="77777777" w:rsidR="00B626BE" w:rsidRDefault="00B626BE" w:rsidP="00B626BE">
      <w:pPr>
        <w:spacing w:after="0" w:line="360" w:lineRule="exact"/>
        <w:jc w:val="both"/>
        <w:rPr>
          <w:rFonts w:ascii="Palatino Linotype" w:hAnsi="Palatino Linotype"/>
          <w:sz w:val="26"/>
          <w:szCs w:val="26"/>
        </w:rPr>
      </w:pPr>
      <w:r>
        <w:rPr>
          <w:rFonts w:ascii="Palatino Linotype" w:hAnsi="Palatino Linotype"/>
          <w:sz w:val="26"/>
          <w:szCs w:val="26"/>
        </w:rPr>
        <w:t>Nel caso di mancata risposta alla richiesta di accesso civico, l’istante, decorsi trenta giorni, può richiedere l’esercizio del potere sostitutivo attraverso le seguenti modalità:</w:t>
      </w:r>
    </w:p>
    <w:p w14:paraId="0ECFEC0B" w14:textId="77777777" w:rsidR="00B626BE" w:rsidRDefault="00B626BE" w:rsidP="00B626BE">
      <w:pPr>
        <w:pStyle w:val="Paragrafoelenco"/>
        <w:numPr>
          <w:ilvl w:val="0"/>
          <w:numId w:val="1"/>
        </w:numPr>
        <w:spacing w:after="0" w:line="360" w:lineRule="exact"/>
        <w:jc w:val="both"/>
        <w:rPr>
          <w:rFonts w:ascii="Palatino Linotype" w:hAnsi="Palatino Linotype"/>
          <w:sz w:val="26"/>
          <w:szCs w:val="26"/>
        </w:rPr>
      </w:pPr>
      <w:r>
        <w:rPr>
          <w:rFonts w:ascii="Palatino Linotype" w:hAnsi="Palatino Linotype"/>
          <w:sz w:val="26"/>
          <w:szCs w:val="26"/>
        </w:rPr>
        <w:t>tramite invio di e-mail al seguente indirizzo giancarlocamardella@virgilio.it, indicando i dati, le informazioni, i documenti soggetti ad obbligo di pubblicazione per i quali di chiede l’accesso civico, la data di presentazione dell’istanza, nonché le generalità del richiedente e un indirizzo postale o di posta elettronica dove poter fornire riscontro alla richiesta;</w:t>
      </w:r>
    </w:p>
    <w:p w14:paraId="599F28E1" w14:textId="77777777" w:rsidR="00B626BE" w:rsidRDefault="00B626BE" w:rsidP="00B626BE">
      <w:pPr>
        <w:pStyle w:val="Paragrafoelenco"/>
        <w:numPr>
          <w:ilvl w:val="0"/>
          <w:numId w:val="1"/>
        </w:numPr>
        <w:spacing w:after="0" w:line="360" w:lineRule="exact"/>
        <w:jc w:val="both"/>
        <w:rPr>
          <w:rFonts w:ascii="Palatino Linotype" w:hAnsi="Palatino Linotype"/>
          <w:sz w:val="26"/>
          <w:szCs w:val="26"/>
        </w:rPr>
      </w:pPr>
      <w:r w:rsidRPr="00D31296">
        <w:rPr>
          <w:rFonts w:ascii="Palatino Linotype" w:hAnsi="Palatino Linotype"/>
          <w:sz w:val="26"/>
          <w:szCs w:val="26"/>
        </w:rPr>
        <w:t xml:space="preserve">mediante invio di posta ordinaria, contenente i dati di cui al punto precedente all’indirizzo del Consiglio Notarile di Brescia, alla c.a. del Notaio </w:t>
      </w:r>
      <w:r>
        <w:rPr>
          <w:rFonts w:ascii="Palatino Linotype" w:hAnsi="Palatino Linotype"/>
          <w:sz w:val="26"/>
          <w:szCs w:val="26"/>
        </w:rPr>
        <w:t>Giancarlo Camardella</w:t>
      </w:r>
      <w:r w:rsidRPr="00D31296">
        <w:rPr>
          <w:rFonts w:ascii="Palatino Linotype" w:hAnsi="Palatino Linotype"/>
          <w:sz w:val="26"/>
          <w:szCs w:val="26"/>
        </w:rPr>
        <w:t xml:space="preserve"> </w:t>
      </w:r>
      <w:r>
        <w:rPr>
          <w:rFonts w:ascii="Palatino Linotype" w:hAnsi="Palatino Linotype"/>
          <w:sz w:val="26"/>
          <w:szCs w:val="26"/>
        </w:rPr>
        <w:t>Via U. La Malfa n. 4 cap. 25124 città Brescia.</w:t>
      </w:r>
    </w:p>
    <w:p w14:paraId="49F01322" w14:textId="77777777" w:rsidR="00B626BE" w:rsidRDefault="00B626BE" w:rsidP="00B626BE">
      <w:pPr>
        <w:spacing w:after="0" w:line="360" w:lineRule="exact"/>
        <w:ind w:left="360"/>
        <w:jc w:val="both"/>
        <w:rPr>
          <w:rFonts w:ascii="Palatino Linotype" w:hAnsi="Palatino Linotype"/>
          <w:sz w:val="26"/>
          <w:szCs w:val="26"/>
        </w:rPr>
      </w:pPr>
    </w:p>
    <w:p w14:paraId="1A1ADF90" w14:textId="77777777" w:rsidR="00B626BE" w:rsidRPr="00D31296" w:rsidRDefault="00B626BE" w:rsidP="00B626BE">
      <w:pPr>
        <w:pStyle w:val="Paragrafoelenco"/>
        <w:numPr>
          <w:ilvl w:val="0"/>
          <w:numId w:val="1"/>
        </w:numPr>
        <w:spacing w:after="0" w:line="360" w:lineRule="exact"/>
        <w:jc w:val="both"/>
        <w:rPr>
          <w:rFonts w:ascii="Palatino Linotype" w:hAnsi="Palatino Linotype"/>
          <w:sz w:val="26"/>
          <w:szCs w:val="26"/>
        </w:rPr>
      </w:pPr>
      <w:r w:rsidRPr="00D31296">
        <w:rPr>
          <w:rFonts w:ascii="Palatino Linotype" w:hAnsi="Palatino Linotype"/>
          <w:sz w:val="26"/>
          <w:szCs w:val="26"/>
        </w:rPr>
        <w:t>Il richiedente, in alternativa, può rivolgersi al Giudice amministrativo (T.A.R.).</w:t>
      </w:r>
    </w:p>
    <w:p w14:paraId="13FF537C" w14:textId="77777777" w:rsidR="004315B6" w:rsidRDefault="004315B6"/>
    <w:sectPr w:rsidR="004315B6" w:rsidSect="009C0D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7D4B29"/>
    <w:multiLevelType w:val="multilevel"/>
    <w:tmpl w:val="6DC208D6"/>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2236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BE"/>
    <w:rsid w:val="00086835"/>
    <w:rsid w:val="004315B6"/>
    <w:rsid w:val="00497C38"/>
    <w:rsid w:val="005740CC"/>
    <w:rsid w:val="005C5B9E"/>
    <w:rsid w:val="005F4770"/>
    <w:rsid w:val="007B489E"/>
    <w:rsid w:val="009C0D4E"/>
    <w:rsid w:val="00B626BE"/>
    <w:rsid w:val="00F96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D911"/>
  <w15:docId w15:val="{91C8957A-55CB-4F93-9F53-C9BFFE0D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26BE"/>
    <w:pPr>
      <w:suppressAutoHyphens/>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26BE"/>
    <w:pPr>
      <w:ind w:left="720"/>
      <w:contextualSpacing/>
    </w:pPr>
  </w:style>
  <w:style w:type="character" w:styleId="Collegamentoipertestuale">
    <w:name w:val="Hyperlink"/>
    <w:basedOn w:val="Carpredefinitoparagrafo"/>
    <w:uiPriority w:val="99"/>
    <w:unhideWhenUsed/>
    <w:rsid w:val="00B62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tariato.bresc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1936</Words>
  <Characters>11036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Camardella</dc:creator>
  <cp:keywords/>
  <dc:description/>
  <cp:lastModifiedBy>Giancarlo Camardella</cp:lastModifiedBy>
  <cp:revision>6</cp:revision>
  <dcterms:created xsi:type="dcterms:W3CDTF">2021-01-22T08:40:00Z</dcterms:created>
  <dcterms:modified xsi:type="dcterms:W3CDTF">2024-03-27T13:03:00Z</dcterms:modified>
</cp:coreProperties>
</file>